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8C9" w:rsidRPr="004D4319" w:rsidRDefault="00EE48C9" w:rsidP="004D4319">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4D4319">
        <w:rPr>
          <w:rFonts w:ascii="Arial" w:eastAsia="Times New Roman" w:hAnsi="Arial" w:cs="Arial"/>
          <w:b/>
          <w:bCs/>
          <w:kern w:val="36"/>
          <w:sz w:val="24"/>
          <w:szCs w:val="24"/>
          <w:lang w:eastAsia="es-ES"/>
        </w:rPr>
        <w:t xml:space="preserve">Nuevos movimientos sociales: nuevas perspectivas, nuevas experiencias, nuevos </w:t>
      </w:r>
      <w:r w:rsidR="00FF7324" w:rsidRPr="004D4319">
        <w:rPr>
          <w:rFonts w:ascii="Arial" w:eastAsia="Times New Roman" w:hAnsi="Arial" w:cs="Arial"/>
          <w:b/>
          <w:bCs/>
          <w:kern w:val="36"/>
          <w:sz w:val="24"/>
          <w:szCs w:val="24"/>
          <w:lang w:eastAsia="es-ES"/>
        </w:rPr>
        <w:t>desafíos</w:t>
      </w:r>
    </w:p>
    <w:p w:rsidR="00EE48C9" w:rsidRPr="004D4319" w:rsidRDefault="00EE48C9" w:rsidP="004D4319">
      <w:pPr>
        <w:spacing w:after="0" w:line="240" w:lineRule="auto"/>
        <w:jc w:val="both"/>
        <w:rPr>
          <w:rFonts w:ascii="Arial" w:eastAsia="Times New Roman" w:hAnsi="Arial" w:cs="Arial"/>
          <w:sz w:val="24"/>
          <w:szCs w:val="24"/>
          <w:lang w:eastAsia="es-ES"/>
        </w:rPr>
      </w:pPr>
      <w:r w:rsidRPr="004D4319">
        <w:rPr>
          <w:rFonts w:ascii="Arial" w:eastAsia="Times New Roman" w:hAnsi="Arial" w:cs="Arial"/>
          <w:b/>
          <w:bCs/>
          <w:sz w:val="24"/>
          <w:szCs w:val="24"/>
          <w:lang w:eastAsia="es-ES"/>
        </w:rPr>
        <w:t>Julio Alguacil Gómez</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En los últimos años y en particular en el primer lustro del siglo XXI hemos asistido a sucesivos e inquietantes acontecimientos de muy distinta naturaleza, pero entrelazados entre sí, de enorme complejidad y gran impacto, que exigen respuestas urgentes e igualmente complejas. Estos acontecimientos (catástrofes naturales, grandes atentados terroristas, guerras globales denominadas “preventivas”, etc.) que se producen en un contexto de globalización, más que otra cosa van confirmando una sociedad del riesgo en la que nos vamos instalando haciéndonos a todos los seres vulnerables. Una sociedad que cabalga en un modelo desbocadamente entrópico e irremediablemente mundial, pero crecientemente injusto, desigual e insostenible. Los movimientos sociales, y particularmente los movimientos </w:t>
      </w:r>
      <w:proofErr w:type="spellStart"/>
      <w:r w:rsidRPr="004D4319">
        <w:rPr>
          <w:rFonts w:ascii="Arial" w:eastAsia="Times New Roman" w:hAnsi="Arial" w:cs="Arial"/>
          <w:sz w:val="24"/>
          <w:szCs w:val="24"/>
          <w:lang w:eastAsia="es-ES"/>
        </w:rPr>
        <w:t>antisistémicos</w:t>
      </w:r>
      <w:proofErr w:type="spellEnd"/>
      <w:r w:rsidRPr="004D4319">
        <w:rPr>
          <w:rFonts w:ascii="Arial" w:eastAsia="Times New Roman" w:hAnsi="Arial" w:cs="Arial"/>
          <w:sz w:val="24"/>
          <w:szCs w:val="24"/>
          <w:lang w:eastAsia="es-ES"/>
        </w:rPr>
        <w:t>, considerados como sujetos históricos de cambio, tienen ante sí múltiples desafíos para reorientar y construir un nuevo paradigma. En este texto, a la luz de las respuestas inteligentes</w:t>
      </w:r>
      <w:r w:rsidR="00370F7B">
        <w:rPr>
          <w:rFonts w:ascii="Arial" w:eastAsia="Times New Roman" w:hAnsi="Arial" w:cs="Arial"/>
          <w:sz w:val="24"/>
          <w:szCs w:val="24"/>
          <w:lang w:eastAsia="es-ES"/>
        </w:rPr>
        <w:t xml:space="preserve"> </w:t>
      </w:r>
      <w:r w:rsidRPr="004D4319">
        <w:rPr>
          <w:rFonts w:ascii="Arial" w:eastAsia="Times New Roman" w:hAnsi="Arial" w:cs="Arial"/>
          <w:sz w:val="24"/>
          <w:szCs w:val="24"/>
          <w:lang w:eastAsia="es-ES"/>
        </w:rPr>
        <w:t xml:space="preserve">(frente a las respuestas desesperadas), de las nuevas experiencias participativas, de la emergencia de un sujeto ético, de las nuevas alianzas que intuimos en, por ejemplo, los Foros Sociales Mundiales; se quiere dar cuenta de la convergencia posible, probable, necesaria para asumir la complejidad de la acción colectiva. Cuatro son los desafíos que abstraemos de las nuevas experiencias societarias y todas ellas tienen que ver con la calidad de la democracia, de una democracia reflexiva y por tanto compleja: la democracia participativa, la democracia económica sustentada en la economía social y solidaria, la democracia ambiental fundamentada en la sostenibilidad y la democracia cultural expresada en un sentido de la interculturalidad.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Recibido el 19.06.2007   Aprobado el 10.08.2007</w:t>
      </w:r>
    </w:p>
    <w:p w:rsidR="00EE48C9" w:rsidRPr="004D4319" w:rsidRDefault="007C6D93" w:rsidP="004D4319">
      <w:pPr>
        <w:spacing w:before="100" w:beforeAutospacing="1" w:after="100" w:afterAutospacing="1" w:line="240" w:lineRule="auto"/>
        <w:jc w:val="both"/>
        <w:outlineLvl w:val="0"/>
        <w:rPr>
          <w:rFonts w:ascii="Arial" w:eastAsia="Times New Roman" w:hAnsi="Arial" w:cs="Arial"/>
          <w:b/>
          <w:bCs/>
          <w:kern w:val="36"/>
          <w:sz w:val="24"/>
          <w:szCs w:val="24"/>
          <w:lang w:eastAsia="es-ES"/>
        </w:rPr>
      </w:pPr>
      <w:hyperlink r:id="rId5" w:anchor="tocfrom1n1" w:history="1">
        <w:r w:rsidR="00EE48C9" w:rsidRPr="004D4319">
          <w:rPr>
            <w:rFonts w:ascii="Arial" w:eastAsia="Times New Roman" w:hAnsi="Arial" w:cs="Arial"/>
            <w:b/>
            <w:bCs/>
            <w:color w:val="0000FF"/>
            <w:kern w:val="36"/>
            <w:sz w:val="24"/>
            <w:szCs w:val="24"/>
            <w:u w:val="single"/>
            <w:lang w:eastAsia="es-ES"/>
          </w:rPr>
          <w:t>El juego de los movimientos sociales en un contexto complejo y de cambiantes contextos</w:t>
        </w:r>
      </w:hyperlink>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En el primer lustro del siglo XXI hemos asistido y comprobado la sucesión vertiginosa de fenómenos significativos y diversos que son resultado y, en ocasiones, respuesta, al modelo de crecimiento productivista y neoliberal desarrollado en el último cuarto del siglo XX. El estreno del milenio viene marcado, en un primer momento, por las movilizaciones de resistencia global que consiguen frustrar el encuentro de la denominada Ronda del Milenio de la OMC en noviembre de 1999 en Seattle, y el ciclo de protestas que le siguen en los años siguientes. En un segundo momento, desde otra mirada, el milenio se inicia con la guerra global personificada en los atentados del 11 S y los atentados que le siguen en otras grandes ciudades del centro, y en las guerras “preventivas” de Afganistán e Irak,  generándose así un </w:t>
      </w:r>
      <w:r w:rsidR="000268D2" w:rsidRPr="004D4319">
        <w:rPr>
          <w:rFonts w:ascii="Arial" w:eastAsia="Times New Roman" w:hAnsi="Arial" w:cs="Arial"/>
          <w:sz w:val="24"/>
          <w:szCs w:val="24"/>
          <w:lang w:eastAsia="es-ES"/>
        </w:rPr>
        <w:t>círculo</w:t>
      </w:r>
      <w:r w:rsidRPr="004D4319">
        <w:rPr>
          <w:rFonts w:ascii="Arial" w:eastAsia="Times New Roman" w:hAnsi="Arial" w:cs="Arial"/>
          <w:sz w:val="24"/>
          <w:szCs w:val="24"/>
          <w:lang w:eastAsia="es-ES"/>
        </w:rPr>
        <w:t xml:space="preserve"> vicioso en torno a la amenaza bidireccional global, atentados-guerras-quebranto de derechos ciudadanos-atentados.</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lastRenderedPageBreak/>
        <w:t xml:space="preserve">De otra parte, las grandes catástrofes naturales que se vinculan cada vez con mayor certeza al cambio climático y en general a la desbocada dinámica entrópica del capitalismo global: los grandes incendios forestales en Australia, Sur de Europa y EE.UU., las grandes inundaciones en Centro Europa y China, los persistentes y cada vez más frecuentes huracanes en el Mar de China, el Caribe y Centro América, las grandes sequías en África y el Sur de Europa, a lo que hay que añadir los grandes terremotos y otras catástrofes vinculadas más directamente al modelo de productivismo extremadamente mercantilizado, o desregulado, como puede ser el caso del </w:t>
      </w:r>
      <w:proofErr w:type="spellStart"/>
      <w:r w:rsidRPr="004D4319">
        <w:rPr>
          <w:rFonts w:ascii="Arial" w:eastAsia="Times New Roman" w:hAnsi="Arial" w:cs="Arial"/>
          <w:sz w:val="24"/>
          <w:szCs w:val="24"/>
          <w:lang w:eastAsia="es-ES"/>
        </w:rPr>
        <w:t>Prestige</w:t>
      </w:r>
      <w:proofErr w:type="spellEnd"/>
      <w:r w:rsidRPr="004D4319">
        <w:rPr>
          <w:rFonts w:ascii="Arial" w:eastAsia="Times New Roman" w:hAnsi="Arial" w:cs="Arial"/>
          <w:sz w:val="24"/>
          <w:szCs w:val="24"/>
          <w:lang w:eastAsia="es-ES"/>
        </w:rPr>
        <w:t>; y la inquietante emergencia de las enfermedades globales, como el SIDA, el mal de las vacas locas, la neumonía asiática, o la gripe aviar, conforman eso que se ha venido a denominar como sociedad del riesgo.</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Nos enfrentamos, en nuestras sociedades contemporáneas, a una creciente complejidad, y no sólo por las múltiples dimensiones que intervienen en su conformación, sino también por las paradojas que se producen en ellas, tales como la simultaneidad que se establece  entre la unidad y la diversidad, la dualidad y la segmentación, la singularidad y la pluralidad, el sujeto y la humanidad, lo viejo y lo nuevo, lo local y lo global, la riqueza y la pobreza, la inclusión y la exclusión, el uso de la violencia y la ética... que nos revelan nuevos contextos y, aparejados a ellos, la elaboración de nuevos marcos interpretativos que se intuyen en múltiples síntesis, que se dejan ver en la búsqueda de nuevos equilibrios y de nuevas alianzas: la </w:t>
      </w:r>
      <w:proofErr w:type="spellStart"/>
      <w:r w:rsidR="009019CA" w:rsidRPr="004D4319">
        <w:rPr>
          <w:rFonts w:ascii="Arial" w:eastAsia="Times New Roman" w:hAnsi="Arial" w:cs="Arial"/>
          <w:sz w:val="24"/>
          <w:szCs w:val="24"/>
          <w:lang w:eastAsia="es-ES"/>
        </w:rPr>
        <w:t>glo</w:t>
      </w:r>
      <w:r w:rsidR="00131DA3">
        <w:rPr>
          <w:rFonts w:ascii="Arial" w:eastAsia="Times New Roman" w:hAnsi="Arial" w:cs="Arial"/>
          <w:sz w:val="24"/>
          <w:szCs w:val="24"/>
          <w:lang w:eastAsia="es-ES"/>
        </w:rPr>
        <w:t>c</w:t>
      </w:r>
      <w:r w:rsidR="009019CA" w:rsidRPr="004D4319">
        <w:rPr>
          <w:rFonts w:ascii="Arial" w:eastAsia="Times New Roman" w:hAnsi="Arial" w:cs="Arial"/>
          <w:sz w:val="24"/>
          <w:szCs w:val="24"/>
          <w:lang w:eastAsia="es-ES"/>
        </w:rPr>
        <w:t>alización</w:t>
      </w:r>
      <w:proofErr w:type="spellEnd"/>
      <w:r w:rsidRPr="004D4319">
        <w:rPr>
          <w:rFonts w:ascii="Arial" w:eastAsia="Times New Roman" w:hAnsi="Arial" w:cs="Arial"/>
          <w:sz w:val="24"/>
          <w:szCs w:val="24"/>
          <w:lang w:eastAsia="es-ES"/>
        </w:rPr>
        <w:t>, la nueva ciudadanía, la línea de dignidad y la nueva ética.</w:t>
      </w:r>
    </w:p>
    <w:p w:rsidR="00EE48C9" w:rsidRPr="00923CA3" w:rsidRDefault="00EE48C9" w:rsidP="00923CA3">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El protagonismo de los movimientos sociales en la conformación de los marcos interpretativos</w:t>
      </w:r>
      <w:r w:rsidR="000951BC">
        <w:rPr>
          <w:rFonts w:ascii="Arial" w:eastAsia="Times New Roman" w:hAnsi="Arial" w:cs="Arial"/>
          <w:sz w:val="24"/>
          <w:szCs w:val="24"/>
          <w:lang w:eastAsia="es-ES"/>
        </w:rPr>
        <w:t xml:space="preserve"> </w:t>
      </w:r>
      <w:r w:rsidRPr="004D4319">
        <w:rPr>
          <w:rFonts w:ascii="Arial" w:eastAsia="Times New Roman" w:hAnsi="Arial" w:cs="Arial"/>
          <w:sz w:val="24"/>
          <w:szCs w:val="24"/>
          <w:lang w:eastAsia="es-ES"/>
        </w:rPr>
        <w:t>es innegable, no podríamos considerar la conciencia ambiental actual sin el movimiento ecologista, o los avances alcanzados en la igualdad de géneros sin el movimiento feminista, y así un largo etcétera. La historia de la modernidad estuvo ampliamente determinada por los movimientos sociales, fundamentalmente por el movimiento obrero, pero la postmodernidad en donde son crecientes nuevas oportunidades vinculadas a la interconectividad y a la interactividad, y precisamente por ello, se encuentra fuertemente influenciada por los nuevos movimientos sociales y su versátil capacidad de juego entre las paradojas. Los movimientos sociales, en sus búsquedas, se presentan así</w:t>
      </w:r>
      <w:r w:rsidR="004B104E">
        <w:rPr>
          <w:rFonts w:ascii="Arial" w:eastAsia="Times New Roman" w:hAnsi="Arial" w:cs="Arial"/>
          <w:sz w:val="24"/>
          <w:szCs w:val="24"/>
          <w:lang w:eastAsia="es-ES"/>
        </w:rPr>
        <w:t>,</w:t>
      </w:r>
      <w:r w:rsidRPr="004D4319">
        <w:rPr>
          <w:rFonts w:ascii="Arial" w:eastAsia="Times New Roman" w:hAnsi="Arial" w:cs="Arial"/>
          <w:sz w:val="24"/>
          <w:szCs w:val="24"/>
          <w:lang w:eastAsia="es-ES"/>
        </w:rPr>
        <w:t xml:space="preserve"> como nexo de asociación, como motivadores y a la vez interpretadores de las síntesis que se producen, que intuyen, que se construyen, entre los pares de conceptos paradójicos expresados más arriba. Pero veamos más detenidamente la idiosincrasia de las síntesis, de los nuevos equilibrios que se piensan, que se luchan, que se proponen, que se construyen. Éstas son nuevas perspectivas de reflexión y de elaboración para los movimientos sociales que manifiestan la complejidad en un entramado heterogéneo de dimensiones que se traban entre sí</w:t>
      </w:r>
      <w:r w:rsidR="00923CA3">
        <w:rPr>
          <w:rFonts w:ascii="Arial" w:eastAsia="Times New Roman" w:hAnsi="Arial" w:cs="Arial"/>
          <w:sz w:val="24"/>
          <w:szCs w:val="24"/>
          <w:lang w:eastAsia="es-ES"/>
        </w:rPr>
        <w:t>.</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Los novísimos movimientos sociales son etiquetados por imperativo mediático como movimientos “antiglobalización”, sin embargo la perspectiva </w:t>
      </w:r>
      <w:proofErr w:type="spellStart"/>
      <w:r w:rsidRPr="004D4319">
        <w:rPr>
          <w:rFonts w:ascii="Arial" w:eastAsia="Times New Roman" w:hAnsi="Arial" w:cs="Arial"/>
          <w:sz w:val="24"/>
          <w:szCs w:val="24"/>
          <w:lang w:eastAsia="es-ES"/>
        </w:rPr>
        <w:t>movimentista</w:t>
      </w:r>
      <w:proofErr w:type="spellEnd"/>
      <w:r w:rsidRPr="004D4319">
        <w:rPr>
          <w:rFonts w:ascii="Arial" w:eastAsia="Times New Roman" w:hAnsi="Arial" w:cs="Arial"/>
          <w:sz w:val="24"/>
          <w:szCs w:val="24"/>
          <w:lang w:eastAsia="es-ES"/>
        </w:rPr>
        <w:t xml:space="preserve"> contemporánea se denomina a sí misma como movimientos de “resistencia global” o también</w:t>
      </w:r>
      <w:r w:rsidR="00E01AB4">
        <w:rPr>
          <w:rFonts w:ascii="Arial" w:eastAsia="Times New Roman" w:hAnsi="Arial" w:cs="Arial"/>
          <w:sz w:val="24"/>
          <w:szCs w:val="24"/>
          <w:lang w:eastAsia="es-ES"/>
        </w:rPr>
        <w:t xml:space="preserve"> como movimientos “</w:t>
      </w:r>
      <w:proofErr w:type="spellStart"/>
      <w:r w:rsidR="00E01AB4">
        <w:rPr>
          <w:rFonts w:ascii="Arial" w:eastAsia="Times New Roman" w:hAnsi="Arial" w:cs="Arial"/>
          <w:sz w:val="24"/>
          <w:szCs w:val="24"/>
          <w:lang w:eastAsia="es-ES"/>
        </w:rPr>
        <w:t>alterglobali</w:t>
      </w:r>
      <w:r w:rsidRPr="004D4319">
        <w:rPr>
          <w:rFonts w:ascii="Arial" w:eastAsia="Times New Roman" w:hAnsi="Arial" w:cs="Arial"/>
          <w:sz w:val="24"/>
          <w:szCs w:val="24"/>
          <w:lang w:eastAsia="es-ES"/>
        </w:rPr>
        <w:t>zación</w:t>
      </w:r>
      <w:proofErr w:type="spellEnd"/>
      <w:r w:rsidRPr="004D4319">
        <w:rPr>
          <w:rFonts w:ascii="Arial" w:eastAsia="Times New Roman" w:hAnsi="Arial" w:cs="Arial"/>
          <w:sz w:val="24"/>
          <w:szCs w:val="24"/>
          <w:lang w:eastAsia="es-ES"/>
        </w:rPr>
        <w:t xml:space="preserve">”, en definitiva, la apuesta por otra globalización. Realmente este nuevo movimiento, a su vez síntesis de movimientos, </w:t>
      </w:r>
      <w:r w:rsidRPr="004D4319">
        <w:rPr>
          <w:rFonts w:ascii="Arial" w:eastAsia="Times New Roman" w:hAnsi="Arial" w:cs="Arial"/>
          <w:sz w:val="24"/>
          <w:szCs w:val="24"/>
          <w:lang w:eastAsia="es-ES"/>
        </w:rPr>
        <w:lastRenderedPageBreak/>
        <w:t>trabaja por una alternativa al ca</w:t>
      </w:r>
      <w:r w:rsidR="00714005">
        <w:rPr>
          <w:rFonts w:ascii="Arial" w:eastAsia="Times New Roman" w:hAnsi="Arial" w:cs="Arial"/>
          <w:sz w:val="24"/>
          <w:szCs w:val="24"/>
          <w:lang w:eastAsia="es-ES"/>
        </w:rPr>
        <w:t xml:space="preserve">pitalismo. </w:t>
      </w:r>
      <w:r w:rsidRPr="004D4319">
        <w:rPr>
          <w:rFonts w:ascii="Arial" w:eastAsia="Times New Roman" w:hAnsi="Arial" w:cs="Arial"/>
          <w:sz w:val="24"/>
          <w:szCs w:val="24"/>
          <w:lang w:eastAsia="es-ES"/>
        </w:rPr>
        <w:t>En consecuencia, son alternativos a</w:t>
      </w:r>
      <w:r w:rsidR="00AA6D21">
        <w:rPr>
          <w:rFonts w:ascii="Arial" w:eastAsia="Times New Roman" w:hAnsi="Arial" w:cs="Arial"/>
          <w:sz w:val="24"/>
          <w:szCs w:val="24"/>
          <w:lang w:eastAsia="es-ES"/>
        </w:rPr>
        <w:t>l</w:t>
      </w:r>
      <w:r w:rsidRPr="004D4319">
        <w:rPr>
          <w:rFonts w:ascii="Arial" w:eastAsia="Times New Roman" w:hAnsi="Arial" w:cs="Arial"/>
          <w:sz w:val="24"/>
          <w:szCs w:val="24"/>
          <w:lang w:eastAsia="es-ES"/>
        </w:rPr>
        <w:t xml:space="preserve"> capitalismo global.</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Así la denominada globalización adquiere distintas miradas, incluyendo múltiples dimensiones que admiten una lectura alternativa al propio capitalismo global.  La lucha por la globalización de los derechos humanos es un buen ejemplo de ello, igualmente los propios movimientos pueden considerarse como globales, pero a la misma vez locales. Si bien, la lectura desde la extrema mercantilización se fundamenta en la penetración de las estrategias globales en todas las culturas y en todos los territorios, es decir en la colonización de lo local, de la vida cotidiana, del individuo, lo cual menoscaba su capacidad de autonomía y de auto-eco-desarrollo. Los impactos negativos sobre lo local conllevan una perspectiva ambivalente, de </w:t>
      </w:r>
      <w:proofErr w:type="spellStart"/>
      <w:r w:rsidRPr="004D4319">
        <w:rPr>
          <w:rFonts w:ascii="Arial" w:eastAsia="Times New Roman" w:hAnsi="Arial" w:cs="Arial"/>
          <w:sz w:val="24"/>
          <w:szCs w:val="24"/>
          <w:lang w:eastAsia="es-ES"/>
        </w:rPr>
        <w:t>autocierre</w:t>
      </w:r>
      <w:proofErr w:type="spellEnd"/>
      <w:r w:rsidRPr="004D4319">
        <w:rPr>
          <w:rFonts w:ascii="Arial" w:eastAsia="Times New Roman" w:hAnsi="Arial" w:cs="Arial"/>
          <w:sz w:val="24"/>
          <w:szCs w:val="24"/>
          <w:lang w:eastAsia="es-ES"/>
        </w:rPr>
        <w:t xml:space="preserve">, o por el contrario, de </w:t>
      </w:r>
      <w:proofErr w:type="spellStart"/>
      <w:r w:rsidRPr="004D4319">
        <w:rPr>
          <w:rFonts w:ascii="Arial" w:eastAsia="Times New Roman" w:hAnsi="Arial" w:cs="Arial"/>
          <w:sz w:val="24"/>
          <w:szCs w:val="24"/>
          <w:lang w:eastAsia="es-ES"/>
        </w:rPr>
        <w:t>autoapertura</w:t>
      </w:r>
      <w:proofErr w:type="spellEnd"/>
      <w:r w:rsidRPr="004D4319">
        <w:rPr>
          <w:rFonts w:ascii="Arial" w:eastAsia="Times New Roman" w:hAnsi="Arial" w:cs="Arial"/>
          <w:sz w:val="24"/>
          <w:szCs w:val="24"/>
          <w:lang w:eastAsia="es-ES"/>
        </w:rPr>
        <w:t xml:space="preserve">. La primera de ellas implica una construcción de una  identidad </w:t>
      </w:r>
      <w:proofErr w:type="spellStart"/>
      <w:r w:rsidRPr="004D4319">
        <w:rPr>
          <w:rFonts w:ascii="Arial" w:eastAsia="Times New Roman" w:hAnsi="Arial" w:cs="Arial"/>
          <w:sz w:val="24"/>
          <w:szCs w:val="24"/>
          <w:lang w:eastAsia="es-ES"/>
        </w:rPr>
        <w:t>tribalista</w:t>
      </w:r>
      <w:proofErr w:type="spellEnd"/>
      <w:r w:rsidRPr="004D4319">
        <w:rPr>
          <w:rFonts w:ascii="Arial" w:eastAsia="Times New Roman" w:hAnsi="Arial" w:cs="Arial"/>
          <w:sz w:val="24"/>
          <w:szCs w:val="24"/>
          <w:lang w:eastAsia="es-ES"/>
        </w:rPr>
        <w:t xml:space="preserve"> excluyente y endogámica, mientras que la segunda significa ganar conciencia de sí en la interactividad con otras culturas, con otros territorios, con otras ciudades, con otros movimientos... Esta última acepción conlleva la idea de </w:t>
      </w:r>
      <w:proofErr w:type="spellStart"/>
      <w:r w:rsidRPr="004D4319">
        <w:rPr>
          <w:rFonts w:ascii="Arial" w:eastAsia="Times New Roman" w:hAnsi="Arial" w:cs="Arial"/>
          <w:sz w:val="24"/>
          <w:szCs w:val="24"/>
          <w:lang w:eastAsia="es-ES"/>
        </w:rPr>
        <w:t>glocalización</w:t>
      </w:r>
      <w:proofErr w:type="spellEnd"/>
      <w:r w:rsidRPr="004D4319">
        <w:rPr>
          <w:rFonts w:ascii="Arial" w:eastAsia="Times New Roman" w:hAnsi="Arial" w:cs="Arial"/>
          <w:sz w:val="24"/>
          <w:szCs w:val="24"/>
          <w:lang w:eastAsia="es-ES"/>
        </w:rPr>
        <w:t>, neologismo que debemos a la lectura crítica del proceso globalizador realizada p</w:t>
      </w:r>
      <w:r w:rsidR="006D221F">
        <w:rPr>
          <w:rFonts w:ascii="Arial" w:eastAsia="Times New Roman" w:hAnsi="Arial" w:cs="Arial"/>
          <w:sz w:val="24"/>
          <w:szCs w:val="24"/>
          <w:lang w:eastAsia="es-ES"/>
        </w:rPr>
        <w:t xml:space="preserve">or </w:t>
      </w:r>
      <w:proofErr w:type="spellStart"/>
      <w:r w:rsidR="006D221F">
        <w:rPr>
          <w:rFonts w:ascii="Arial" w:eastAsia="Times New Roman" w:hAnsi="Arial" w:cs="Arial"/>
          <w:sz w:val="24"/>
          <w:szCs w:val="24"/>
          <w:lang w:eastAsia="es-ES"/>
        </w:rPr>
        <w:t>Roland</w:t>
      </w:r>
      <w:proofErr w:type="spellEnd"/>
      <w:r w:rsidR="006D221F">
        <w:rPr>
          <w:rFonts w:ascii="Arial" w:eastAsia="Times New Roman" w:hAnsi="Arial" w:cs="Arial"/>
          <w:sz w:val="24"/>
          <w:szCs w:val="24"/>
          <w:lang w:eastAsia="es-ES"/>
        </w:rPr>
        <w:t xml:space="preserve"> </w:t>
      </w:r>
      <w:proofErr w:type="spellStart"/>
      <w:r w:rsidR="006D221F">
        <w:rPr>
          <w:rFonts w:ascii="Arial" w:eastAsia="Times New Roman" w:hAnsi="Arial" w:cs="Arial"/>
          <w:sz w:val="24"/>
          <w:szCs w:val="24"/>
          <w:lang w:eastAsia="es-ES"/>
        </w:rPr>
        <w:t>Robertso</w:t>
      </w:r>
      <w:proofErr w:type="spellEnd"/>
      <w:r w:rsidRPr="004D4319">
        <w:rPr>
          <w:rFonts w:ascii="Arial" w:eastAsia="Times New Roman" w:hAnsi="Arial" w:cs="Arial"/>
          <w:sz w:val="24"/>
          <w:szCs w:val="24"/>
          <w:lang w:eastAsia="es-ES"/>
        </w:rPr>
        <w:t xml:space="preserve"> en un sentido de fusión y reciprocidad entre lo local y lo global, entre los lugares y los flujos, entre las particularidades y lo universal, en definitiva, una eficaz combinación de lo más útil de cada lugar con lo mejor de lo que circula por los flujos globales.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De este modo se establece una retroalimentación entre la creciente conciencia de ciudadanía universal con el arraigo local, apuntando una perspectiva comunicativa bidireccional que podemos sustanciar en el conocido eslogan de “pensar globalmente y actuar localmente”, que se ve completado con “el pensar localmente y actuar globalmente”, permitiendo, así, el reconocimiento de las identidades particulares, de las diferentes subjetividades de base categorial (diferencias de </w:t>
      </w:r>
      <w:r w:rsidR="008E5FD5" w:rsidRPr="004D4319">
        <w:rPr>
          <w:rFonts w:ascii="Arial" w:eastAsia="Times New Roman" w:hAnsi="Arial" w:cs="Arial"/>
          <w:sz w:val="24"/>
          <w:szCs w:val="24"/>
          <w:lang w:eastAsia="es-ES"/>
        </w:rPr>
        <w:t>género</w:t>
      </w:r>
      <w:r w:rsidRPr="004D4319">
        <w:rPr>
          <w:rFonts w:ascii="Arial" w:eastAsia="Times New Roman" w:hAnsi="Arial" w:cs="Arial"/>
          <w:sz w:val="24"/>
          <w:szCs w:val="24"/>
          <w:lang w:eastAsia="es-ES"/>
        </w:rPr>
        <w:t>, étnica, orientación sexual, edad, etc.), sectorial (trabajo, medio ambiente, educación, sanidad, vivienda, etc.) y territorial, pero conjugándose a la vez con la defensa y conquista de principios universalistas como los derechos humanos, o los mismos valores democráticos. De tal modo que el objetivo de los movimientos sociales contemporáneos es una ciudadanía democrática e inclusiva que tiene una doble dirección: particularizar los valores universales y universalizar las identidades particulares. En definitiva, tienen el reto de articular las distintas posiciones subjetivas en un sujeto, a la vez, unitario y heterogéneo, en una nueva identidad de identidades, que les sitúa en una  predisposición para buscar una múltiple articulación temática y sectorial, entre culturas y colectivos,  entre escalas y entre agencias que solo puede construirse a través de una cooperación de lo descentralizado.</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La entrada en escena de la problemática ambiental y el creciente contacto entre culturas (flujos migratorios, difusión cultural occidental, etc.) ponen de relieve nuevos fenómenos que tienen su proyección en una ampliación de los derechos  presentando cierta correspondencia con la emergencia de nuevas esferas de soberanía que cohabitan con el Estado-nación. La pérdida de peso de éste deja paso a nuevos actores políticos y estrategias en el ámbito global, pero también en </w:t>
      </w:r>
      <w:r w:rsidRPr="004D4319">
        <w:rPr>
          <w:rFonts w:ascii="Arial" w:eastAsia="Times New Roman" w:hAnsi="Arial" w:cs="Arial"/>
          <w:sz w:val="24"/>
          <w:szCs w:val="24"/>
          <w:lang w:eastAsia="es-ES"/>
        </w:rPr>
        <w:lastRenderedPageBreak/>
        <w:t xml:space="preserve">el ámbito local. </w:t>
      </w:r>
      <w:r w:rsidR="009D474D" w:rsidRPr="004D4319">
        <w:rPr>
          <w:rFonts w:ascii="Arial" w:eastAsia="Times New Roman" w:hAnsi="Arial" w:cs="Arial"/>
          <w:sz w:val="24"/>
          <w:szCs w:val="24"/>
          <w:lang w:eastAsia="es-ES"/>
        </w:rPr>
        <w:t>Estas</w:t>
      </w:r>
      <w:r w:rsidRPr="004D4319">
        <w:rPr>
          <w:rFonts w:ascii="Arial" w:eastAsia="Times New Roman" w:hAnsi="Arial" w:cs="Arial"/>
          <w:sz w:val="24"/>
          <w:szCs w:val="24"/>
          <w:lang w:eastAsia="es-ES"/>
        </w:rPr>
        <w:t xml:space="preserve"> nuevas esferas de soberanía precisan de su propia mirada de la ciudadanía y se corresponden con nuevas generaciones de derechos a ellas aparejadas.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Así, junto a las tres generaciones de derechos tradicionales vinculadas al Estado-nación aparecen con fuerza los derechos ambientales que no pueden circunscribirse a un territorio acotado, sino al conjunto del planeta. Entran en juego los derechos de la humanidad a un patrimonio que es común, en primer lugar ambiental, pero extensible a todo el patrimonio cultural, histórico, económico y a un medio social exento de violencia. Se preconiza el acceso equitativo a los recursos del planeta como unos derechos humano y se pone en cuestión la propiedad particular, o al menos esta se debe limitar por la existencia de una propiedad colectiva de los recursos que son irremediablemente comunes. Emerge así  una cuarta generación de derechos, lo que algunos han denominado como bienes públicos y otros como derechos republicanos, que han emergido durante el último cuarto del siglo XX y que han motivado el refuerzo de una creciente conciencia </w:t>
      </w:r>
      <w:proofErr w:type="spellStart"/>
      <w:r w:rsidRPr="004D4319">
        <w:rPr>
          <w:rFonts w:ascii="Arial" w:eastAsia="Times New Roman" w:hAnsi="Arial" w:cs="Arial"/>
          <w:sz w:val="24"/>
          <w:szCs w:val="24"/>
          <w:lang w:eastAsia="es-ES"/>
        </w:rPr>
        <w:t>globalista</w:t>
      </w:r>
      <w:proofErr w:type="spellEnd"/>
      <w:r w:rsidRPr="004D4319">
        <w:rPr>
          <w:rFonts w:ascii="Arial" w:eastAsia="Times New Roman" w:hAnsi="Arial" w:cs="Arial"/>
          <w:sz w:val="24"/>
          <w:szCs w:val="24"/>
          <w:lang w:eastAsia="es-ES"/>
        </w:rPr>
        <w:t xml:space="preserve"> sobre la sostenibilidad ambiental y la solidaridad como estrategias irrenunciables para corregir la sociedad del riesgo que afecta a cada uno de nosotros independientemente de nuestro origen nacional o cultural. </w:t>
      </w:r>
      <w:proofErr w:type="spellStart"/>
      <w:r w:rsidRPr="004D4319">
        <w:rPr>
          <w:rFonts w:ascii="Arial" w:eastAsia="Times New Roman" w:hAnsi="Arial" w:cs="Arial"/>
          <w:sz w:val="24"/>
          <w:szCs w:val="24"/>
          <w:lang w:eastAsia="es-ES"/>
        </w:rPr>
        <w:t>Bresser</w:t>
      </w:r>
      <w:proofErr w:type="spellEnd"/>
      <w:r w:rsidRPr="004D4319">
        <w:rPr>
          <w:rFonts w:ascii="Arial" w:eastAsia="Times New Roman" w:hAnsi="Arial" w:cs="Arial"/>
          <w:sz w:val="24"/>
          <w:szCs w:val="24"/>
          <w:lang w:eastAsia="es-ES"/>
        </w:rPr>
        <w:t xml:space="preserve">-Pereira (1995-2000) los define como los derechos colectivos o </w:t>
      </w:r>
      <w:proofErr w:type="spellStart"/>
      <w:r w:rsidRPr="004D4319">
        <w:rPr>
          <w:rFonts w:ascii="Arial" w:eastAsia="Times New Roman" w:hAnsi="Arial" w:cs="Arial"/>
          <w:sz w:val="24"/>
          <w:szCs w:val="24"/>
          <w:lang w:eastAsia="es-ES"/>
        </w:rPr>
        <w:t>pluri</w:t>
      </w:r>
      <w:proofErr w:type="spellEnd"/>
      <w:r w:rsidRPr="004D4319">
        <w:rPr>
          <w:rFonts w:ascii="Arial" w:eastAsia="Times New Roman" w:hAnsi="Arial" w:cs="Arial"/>
          <w:sz w:val="24"/>
          <w:szCs w:val="24"/>
          <w:lang w:eastAsia="es-ES"/>
        </w:rPr>
        <w:t xml:space="preserve">-individuales a la </w:t>
      </w:r>
      <w:r w:rsidRPr="004D4319">
        <w:rPr>
          <w:rFonts w:ascii="Arial" w:eastAsia="Times New Roman" w:hAnsi="Arial" w:cs="Arial"/>
          <w:i/>
          <w:iCs/>
          <w:sz w:val="24"/>
          <w:szCs w:val="24"/>
          <w:lang w:eastAsia="es-ES"/>
        </w:rPr>
        <w:t xml:space="preserve">res </w:t>
      </w:r>
      <w:proofErr w:type="spellStart"/>
      <w:r w:rsidRPr="004D4319">
        <w:rPr>
          <w:rFonts w:ascii="Arial" w:eastAsia="Times New Roman" w:hAnsi="Arial" w:cs="Arial"/>
          <w:sz w:val="24"/>
          <w:szCs w:val="24"/>
          <w:lang w:eastAsia="es-ES"/>
        </w:rPr>
        <w:t>públicao</w:t>
      </w:r>
      <w:proofErr w:type="spellEnd"/>
      <w:r w:rsidRPr="004D4319">
        <w:rPr>
          <w:rFonts w:ascii="Arial" w:eastAsia="Times New Roman" w:hAnsi="Arial" w:cs="Arial"/>
          <w:sz w:val="24"/>
          <w:szCs w:val="24"/>
          <w:lang w:eastAsia="es-ES"/>
        </w:rPr>
        <w:t xml:space="preserve"> al patrimonio público que en su dimensión económica incorpora el derecho de todos los sujetos a que los recursos económicos, sean estos de carácter estatal o no estatal, no  sean utilizados como intereses individuales y corporativos protegiéndose de la codicia y del lucro particular y asegurando su utilidad social y  eficiencia universal. Mientras, que en  su mirada ambiental preconiza los derechos del ecosistema, el respeto a la biodiversidad y por extensión el derecho de las otras especies vivas a su existencia vinculándose a los propios derechos de la humanidad como especie.</w:t>
      </w:r>
    </w:p>
    <w:p w:rsidR="00D82027"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De otro lado,  la creciente intensidad del contacto y relación desigual entre las diferentes culturas y comunidades territoriales pone de relieve el desarrollo de los nuevos derechos culturales. El derecho de los pueblos, de las minorías, de los territorios, de las culturas... Los derechos de la humanidad solo se garantiza con una quinta generación de derechos que amplían y profundizan la democracia haciéndola más participativa y reflexiva. El derecho de los grupos humanos (culturales, étnicos, migrantes...) a ser los principales protagonistas de la gestión de sus recursos y de su desarrollo. En definitiva, el derecho de los ciudadanos a la autodeterminación, a deliberar y decidir sobre las acciones que afectan a sus condiciones de vida de la forma más directa posible. La ciudadanía no será plena si los ciudadanos no tienen la oportunidad de participar activamente en la consecución de la satisfacción de sus necesidades y este proceso se inicia y se proyecta desde la esfera del mundo de la vida cotidiana. El acceso de la política empieza en el propio cuerpo, en el territorio, en el ámbito de la vida cotidiana y se proyecta a lo universal que, a su vez, enriquecer y favorecer la emancipación de la comunidad territorial.</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lastRenderedPageBreak/>
        <w:t xml:space="preserve">Uno de los impactos más estremecedores de la globalización neo-liberal se evidencia en la enorme brecha y en la fragmentación que se ha producido en la estructura social de nuestras sociedades en las últimas tres décadas. Fenómenos que no tienen precedentes, ni por su profundidad ni por su extensión en la historia de la humanidad. Baste recordar la estimación apuntada en el Informe de Desarrollo Humano de 1998 que muestra como los 225 habitantes más ricos del mundo atesoran una riqueza combinada equivalente al ingreso anual de los 2.500 millones de habitantes más pobres del planeta. Distancia y fragmentación que muestran la combinación de dos elementos aparentemente paradójicos: dualidad y segmentación social, que de manera combinada y simultánea ponen de relieve la insostenibilidad social del modelo actual de crecimiento. El fenómeno conceptualmente se ha identificado con la exclusión social, término que contrasta con el clásico concepto de pobreza.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Aparte de las diferencias que pueden establecerse entre la pobreza clásica (unidimensional, bipolar, vertical: arriba-abajo) y la exclusión social (multidimensional, estructura segmentada, horizontal: dentro-fuera), esta última debe considerarse en una doble condición de impacto sobre los colectivos </w:t>
      </w:r>
      <w:proofErr w:type="spellStart"/>
      <w:r w:rsidRPr="004D4319">
        <w:rPr>
          <w:rFonts w:ascii="Arial" w:eastAsia="Times New Roman" w:hAnsi="Arial" w:cs="Arial"/>
          <w:sz w:val="24"/>
          <w:szCs w:val="24"/>
          <w:lang w:eastAsia="es-ES"/>
        </w:rPr>
        <w:t>subjetivizados</w:t>
      </w:r>
      <w:proofErr w:type="spellEnd"/>
      <w:r w:rsidRPr="004D4319">
        <w:rPr>
          <w:rFonts w:ascii="Arial" w:eastAsia="Times New Roman" w:hAnsi="Arial" w:cs="Arial"/>
          <w:sz w:val="24"/>
          <w:szCs w:val="24"/>
          <w:lang w:eastAsia="es-ES"/>
        </w:rPr>
        <w:t>: por un lado, no son útiles a la sociedad en la generación de riqueza y, por otro, tienden  a estar desafiliados en el acceso a los recursos (no conexionado).</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De este modo, amplios sectores de la población quedan fueran del sistema en varias de las dimensiones que condicionan la satisfacción de las necesidades humanas, quedan fuera del sistema político, del sistema económico, del sistema social, del sistema cultural y su hábitat suele encontrarse segregado y degradado social y ambientalmente. Estas desafecciones se expresan en llamativos y crecientes conflictos sociales, como por ejemplo la rebelión de los jóvenes de los “</w:t>
      </w:r>
      <w:proofErr w:type="spellStart"/>
      <w:r w:rsidRPr="004D4319">
        <w:rPr>
          <w:rFonts w:ascii="Arial" w:eastAsia="Times New Roman" w:hAnsi="Arial" w:cs="Arial"/>
          <w:i/>
          <w:iCs/>
          <w:sz w:val="24"/>
          <w:szCs w:val="24"/>
          <w:lang w:eastAsia="es-ES"/>
        </w:rPr>
        <w:t>banlieues</w:t>
      </w:r>
      <w:proofErr w:type="spellEnd"/>
      <w:r w:rsidRPr="004D4319">
        <w:rPr>
          <w:rFonts w:ascii="Arial" w:eastAsia="Times New Roman" w:hAnsi="Arial" w:cs="Arial"/>
          <w:sz w:val="24"/>
          <w:szCs w:val="24"/>
          <w:lang w:eastAsia="es-ES"/>
        </w:rPr>
        <w:t xml:space="preserve">” franceses o el drama de los emigrantes del sur en las fronteras blindadas de los países del norte. Esos dramas son buena muestra de la insostenibilidad social del modelo neoliberal.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Por otro lado, el desigual acceso a los recursos y a la gestión de los mismos, y el  efecto que esto tiene sobre el intercambio desigual, establece un </w:t>
      </w:r>
      <w:r w:rsidR="00D00CF0" w:rsidRPr="004D4319">
        <w:rPr>
          <w:rFonts w:ascii="Arial" w:eastAsia="Times New Roman" w:hAnsi="Arial" w:cs="Arial"/>
          <w:sz w:val="24"/>
          <w:szCs w:val="24"/>
          <w:lang w:eastAsia="es-ES"/>
        </w:rPr>
        <w:t>círculo</w:t>
      </w:r>
      <w:r w:rsidRPr="004D4319">
        <w:rPr>
          <w:rFonts w:ascii="Arial" w:eastAsia="Times New Roman" w:hAnsi="Arial" w:cs="Arial"/>
          <w:sz w:val="24"/>
          <w:szCs w:val="24"/>
          <w:lang w:eastAsia="es-ES"/>
        </w:rPr>
        <w:t xml:space="preserve"> vicioso entre pobreza y destrucción de la naturaleza en un doble efecto entrópico, de retroalimentación, entre la insostenibilidad ambiental y la insostenibilidad social. El sobreconsumo en los países del centro viene acompañado del </w:t>
      </w:r>
      <w:proofErr w:type="spellStart"/>
      <w:r w:rsidRPr="004D4319">
        <w:rPr>
          <w:rFonts w:ascii="Arial" w:eastAsia="Times New Roman" w:hAnsi="Arial" w:cs="Arial"/>
          <w:sz w:val="24"/>
          <w:szCs w:val="24"/>
          <w:lang w:eastAsia="es-ES"/>
        </w:rPr>
        <w:t>infraconsumo</w:t>
      </w:r>
      <w:proofErr w:type="spellEnd"/>
      <w:r w:rsidRPr="004D4319">
        <w:rPr>
          <w:rFonts w:ascii="Arial" w:eastAsia="Times New Roman" w:hAnsi="Arial" w:cs="Arial"/>
          <w:sz w:val="24"/>
          <w:szCs w:val="24"/>
          <w:lang w:eastAsia="es-ES"/>
        </w:rPr>
        <w:t xml:space="preserve"> en los países de la periferia, lo que produce simultáneamente insostenibilidad social y ambiental. Así la desigualdad social es cumulativa al basarse en un modelo de desarrollo en el que el crecimiento económico es excluyente ya “que hace que sólo pueda ofrecer beneficios que se sustentan en el juego de suma cero; si alguien gana es porque otro lo pierde” (Elizalde, 2002), y además posibilita el continuo crecimiento de la riqueza incrementando a su vez la pobreza. Un modelo de consumo que consume anticipadamente el futuro, al fundamentarse en una ideología que estimula de manera ilimitada y compulsiva la satisfacción de los deseos, y no la de las necesidades humanas. Esto conlleva una visión muy limitada del futuro, infantilizada y de corto plazo, mostrando la inconsciencia del sistema, a </w:t>
      </w:r>
      <w:r w:rsidRPr="004D4319">
        <w:rPr>
          <w:rFonts w:ascii="Arial" w:eastAsia="Times New Roman" w:hAnsi="Arial" w:cs="Arial"/>
          <w:sz w:val="24"/>
          <w:szCs w:val="24"/>
          <w:lang w:eastAsia="es-ES"/>
        </w:rPr>
        <w:lastRenderedPageBreak/>
        <w:t>la misma vez que se basa en una cultura del usar y tirar, objetos y sujetos, y en una fe ciega que mantiene la idea de la no-preocupación ante el futuro y ante los impactos que podamos provocar, pues el propio sistema y la ciencia al servicio del mismo será capaz de reorientar y resolver los problemas de la humanidad.</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Se pone así en evidencia la estrecha relación entre la estructura social y la crisis ambiental. La tendencia hacía una extrema polarización social, entre abundancia y pobreza, lleva aparejado, por un lado, la detracción de recursos por sobre</w:t>
      </w:r>
      <w:r w:rsidR="00A13DC0">
        <w:rPr>
          <w:rFonts w:ascii="Arial" w:eastAsia="Times New Roman" w:hAnsi="Arial" w:cs="Arial"/>
          <w:sz w:val="24"/>
          <w:szCs w:val="24"/>
          <w:lang w:eastAsia="es-ES"/>
        </w:rPr>
        <w:t xml:space="preserve"> </w:t>
      </w:r>
      <w:r w:rsidRPr="004D4319">
        <w:rPr>
          <w:rFonts w:ascii="Arial" w:eastAsia="Times New Roman" w:hAnsi="Arial" w:cs="Arial"/>
          <w:sz w:val="24"/>
          <w:szCs w:val="24"/>
          <w:lang w:eastAsia="es-ES"/>
        </w:rPr>
        <w:t>estímulos de consumo de los afortunados del plantea; y por otro, la devastación de recursos por la privación de medios y estrategias de acceso a la alimentación de los pobres de la tierra. De esos nuevos escenarios surgen nuevos interrogantes: “Si la destrucción ecológica se produce cuando la gente tiene demasiado o muy poco, debemos preguntarnos. ¿Qué nivel de consumo puede soportar la Tierra? ¿Cuándo deja de contribuir de manera apreciable el tener más a la satisfacción humana?” (</w:t>
      </w:r>
      <w:proofErr w:type="spellStart"/>
      <w:r w:rsidRPr="004D4319">
        <w:rPr>
          <w:rFonts w:ascii="Arial" w:eastAsia="Times New Roman" w:hAnsi="Arial" w:cs="Arial"/>
          <w:sz w:val="24"/>
          <w:szCs w:val="24"/>
          <w:lang w:eastAsia="es-ES"/>
        </w:rPr>
        <w:t>Durning</w:t>
      </w:r>
      <w:proofErr w:type="spellEnd"/>
      <w:r w:rsidRPr="004D4319">
        <w:rPr>
          <w:rFonts w:ascii="Arial" w:eastAsia="Times New Roman" w:hAnsi="Arial" w:cs="Arial"/>
          <w:sz w:val="24"/>
          <w:szCs w:val="24"/>
          <w:lang w:eastAsia="es-ES"/>
        </w:rPr>
        <w:t>, 1991: 244).</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En respuesta a este modelo de desequilibrio global surgen reivindicaciones desde los países del Sur sobre otro modelo de desarrollo centrado tanto en las necesidades humanas, las libertades reales, la equidad, los derechos humanos plenos, como en la sostenibilidad ambiental (Carvalho, 2002). Respuesta que se traduce en una propuesta: La Línea de Dignidad. La Línea de Dignidad corresponde a una elaboración conceptual que pretende establecer los parámetros para un nuevo indicador social, que eleva el nivel de satisfacción de necesidades establecidas en la “línea de pobreza” a una nueva línea base, concebida como de dignidad humana y establecida bajo un enfoque de necesidades humanas ampliadas (Larraín, 2002), en donde para cada una de ellas existe un umbral de satisfacción que depende de la adecuada concurrencia de las demás. Esto permite la superación de la concepción tradicional de equidad social desde la formulación de la vida mínima (mera superación de la línea de pobreza) a la formulación de una vida digna (Larraín, 2002).</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La estrategia para alcanzar una Línea de Dignidad precisa de una perspectiva dialógica que apunta hacía un reequilibrio entre la sostenibilidad ambiental y la sostenibilidad social, basándose necesariamente en una redistribución que se alcanza a través </w:t>
      </w:r>
      <w:r w:rsidR="00B16B18">
        <w:rPr>
          <w:rFonts w:ascii="Arial" w:eastAsia="Times New Roman" w:hAnsi="Arial" w:cs="Arial"/>
          <w:sz w:val="24"/>
          <w:szCs w:val="24"/>
          <w:lang w:eastAsia="es-ES"/>
        </w:rPr>
        <w:t>del reconocimiento de la comple</w:t>
      </w:r>
      <w:r w:rsidRPr="004D4319">
        <w:rPr>
          <w:rFonts w:ascii="Arial" w:eastAsia="Times New Roman" w:hAnsi="Arial" w:cs="Arial"/>
          <w:sz w:val="24"/>
          <w:szCs w:val="24"/>
          <w:lang w:eastAsia="es-ES"/>
        </w:rPr>
        <w:t>mentariedad y de la puesta en común para abordar las insostenibilidad en su doble vertiente social y ambiental entre el Norte y el Sur. Siguiendo a Sara Larraín: “como referente distributivo de la sustentabilidad, la Línea de Dignidad establece un criterio de regulación socio</w:t>
      </w:r>
      <w:r w:rsidR="00D41101">
        <w:rPr>
          <w:rFonts w:ascii="Arial" w:eastAsia="Times New Roman" w:hAnsi="Arial" w:cs="Arial"/>
          <w:sz w:val="24"/>
          <w:szCs w:val="24"/>
          <w:lang w:eastAsia="es-ES"/>
        </w:rPr>
        <w:t>-</w:t>
      </w:r>
      <w:r w:rsidRPr="004D4319">
        <w:rPr>
          <w:rFonts w:ascii="Arial" w:eastAsia="Times New Roman" w:hAnsi="Arial" w:cs="Arial"/>
          <w:sz w:val="24"/>
          <w:szCs w:val="24"/>
          <w:lang w:eastAsia="es-ES"/>
        </w:rPr>
        <w:t xml:space="preserve">ambiental en el consumo justo, lo suficiente para una vida digna, bajo los parámetros de ejercicio de derechos, relaciones sociales democráticas, reconocimiento de la complejidad de los ecosistemas planetarios y de la necesaria subsistencia de los demás seres vivientes que conforman dichos sistemas” (Larraín, 2002: 101).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Para ello se hace necesario desmaterializar el consumo del Norte reduciendo sus niveles y aumentar el consumo del Sur, pero desmitificando el modelo mercantilista  insostenible del Norte. Se pone así en evidencia que hay indignidad, </w:t>
      </w:r>
      <w:r w:rsidRPr="004D4319">
        <w:rPr>
          <w:rFonts w:ascii="Arial" w:eastAsia="Times New Roman" w:hAnsi="Arial" w:cs="Arial"/>
          <w:sz w:val="24"/>
          <w:szCs w:val="24"/>
          <w:lang w:eastAsia="es-ES"/>
        </w:rPr>
        <w:lastRenderedPageBreak/>
        <w:t>y ésta no sólo se encuentra en el infra</w:t>
      </w:r>
      <w:r w:rsidR="006D42DC">
        <w:rPr>
          <w:rFonts w:ascii="Arial" w:eastAsia="Times New Roman" w:hAnsi="Arial" w:cs="Arial"/>
          <w:sz w:val="24"/>
          <w:szCs w:val="24"/>
          <w:lang w:eastAsia="es-ES"/>
        </w:rPr>
        <w:t>-</w:t>
      </w:r>
      <w:r w:rsidRPr="004D4319">
        <w:rPr>
          <w:rFonts w:ascii="Arial" w:eastAsia="Times New Roman" w:hAnsi="Arial" w:cs="Arial"/>
          <w:sz w:val="24"/>
          <w:szCs w:val="24"/>
          <w:lang w:eastAsia="es-ES"/>
        </w:rPr>
        <w:t xml:space="preserve">consumo de los pobres del planeta, sino también en el sobreconsumo de los ricos, lo que precisa  de un acuerdo respecto a cuánto es suficiente, en dónde se encuentran los </w:t>
      </w:r>
      <w:r w:rsidR="007E0E34" w:rsidRPr="004D4319">
        <w:rPr>
          <w:rFonts w:ascii="Arial" w:eastAsia="Times New Roman" w:hAnsi="Arial" w:cs="Arial"/>
          <w:sz w:val="24"/>
          <w:szCs w:val="24"/>
          <w:lang w:eastAsia="es-ES"/>
        </w:rPr>
        <w:t>límites</w:t>
      </w:r>
      <w:r w:rsidRPr="004D4319">
        <w:rPr>
          <w:rFonts w:ascii="Arial" w:eastAsia="Times New Roman" w:hAnsi="Arial" w:cs="Arial"/>
          <w:sz w:val="24"/>
          <w:szCs w:val="24"/>
          <w:lang w:eastAsia="es-ES"/>
        </w:rPr>
        <w:t xml:space="preserve"> al consumo.</w:t>
      </w:r>
      <w:r w:rsidR="007E0E34">
        <w:rPr>
          <w:rFonts w:ascii="Arial" w:eastAsia="Times New Roman" w:hAnsi="Arial" w:cs="Arial"/>
          <w:sz w:val="24"/>
          <w:szCs w:val="24"/>
          <w:lang w:eastAsia="es-ES"/>
        </w:rPr>
        <w:t xml:space="preserve"> </w:t>
      </w:r>
      <w:r w:rsidRPr="004D4319">
        <w:rPr>
          <w:rFonts w:ascii="Arial" w:eastAsia="Times New Roman" w:hAnsi="Arial" w:cs="Arial"/>
          <w:sz w:val="24"/>
          <w:szCs w:val="24"/>
          <w:lang w:eastAsia="es-ES"/>
        </w:rPr>
        <w:t xml:space="preserve">La Línea de Dignidad permitirá, por tanto, contar una un instrumento conceptual para avanzar </w:t>
      </w:r>
      <w:r w:rsidR="002A0329" w:rsidRPr="004D4319">
        <w:rPr>
          <w:rFonts w:ascii="Arial" w:eastAsia="Times New Roman" w:hAnsi="Arial" w:cs="Arial"/>
          <w:sz w:val="24"/>
          <w:szCs w:val="24"/>
          <w:lang w:eastAsia="es-ES"/>
        </w:rPr>
        <w:t>hacia</w:t>
      </w:r>
      <w:r w:rsidRPr="004D4319">
        <w:rPr>
          <w:rFonts w:ascii="Arial" w:eastAsia="Times New Roman" w:hAnsi="Arial" w:cs="Arial"/>
          <w:sz w:val="24"/>
          <w:szCs w:val="24"/>
          <w:lang w:eastAsia="es-ES"/>
        </w:rPr>
        <w:t xml:space="preserve"> una mayor equidad internacional en las relaciones Norte-Sur, pero también en la equidad interna de los propios Estados, sean estos del Centro o de la Periferia.</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La Línea de Dignidad se presenta, finalmente, como un indicador de síntesis de esta convergencia en donde el acceso a los derechos humanos en todas sus dimensiones (civiles, políticos, socioeconómicos, ambientales y culturales), y la reorientación hacia la satisfacción de las necesidades humanas ampliadas por parte del sujeto permiten establecer un referente político de lo que sería aceptable éticamente como un nivel de consumo sostenible. De ahí la importancia de la articulación y convergencia entre los movimientos sociales del Norte y del Sur que está produciendo en los Foros Sociales Mundiales.</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Emerge una nueva cosmología mundialista, una nueva conciencia, un nuevo sujeto protagónico, es el regreso del sujeto que diría Jesús Ibáñez (1991), que se rearma en la ética a través de renovados valores morales frente al pensamiento técnico, científico, mercantilizado. Haciendo nuestras las palabras de Alain </w:t>
      </w:r>
      <w:proofErr w:type="spellStart"/>
      <w:r w:rsidRPr="004D4319">
        <w:rPr>
          <w:rFonts w:ascii="Arial" w:eastAsia="Times New Roman" w:hAnsi="Arial" w:cs="Arial"/>
          <w:sz w:val="24"/>
          <w:szCs w:val="24"/>
          <w:lang w:eastAsia="es-ES"/>
        </w:rPr>
        <w:t>Touraine</w:t>
      </w:r>
      <w:proofErr w:type="spellEnd"/>
      <w:r w:rsidRPr="004D4319">
        <w:rPr>
          <w:rFonts w:ascii="Arial" w:eastAsia="Times New Roman" w:hAnsi="Arial" w:cs="Arial"/>
          <w:sz w:val="24"/>
          <w:szCs w:val="24"/>
          <w:lang w:eastAsia="es-ES"/>
        </w:rPr>
        <w:t xml:space="preserve"> en uno de sus últimos trabajos “vemos también como el juicio moral recupera terreno frente al pensamiento técnico y científico. El movimiento ecologista nos ha enseñado a reconocer nuestros deberes respecto de la naturaleza, lo que no nos ha llevado a fundir la cultura en la naturaleza, sino, al contrario, a hacer penetrar el juicio moral en el dominio de la naturaleza” (</w:t>
      </w:r>
      <w:proofErr w:type="spellStart"/>
      <w:r w:rsidRPr="004D4319">
        <w:rPr>
          <w:rFonts w:ascii="Arial" w:eastAsia="Times New Roman" w:hAnsi="Arial" w:cs="Arial"/>
          <w:sz w:val="24"/>
          <w:szCs w:val="24"/>
          <w:lang w:eastAsia="es-ES"/>
        </w:rPr>
        <w:t>Touraine</w:t>
      </w:r>
      <w:proofErr w:type="spellEnd"/>
      <w:r w:rsidRPr="004D4319">
        <w:rPr>
          <w:rFonts w:ascii="Arial" w:eastAsia="Times New Roman" w:hAnsi="Arial" w:cs="Arial"/>
          <w:sz w:val="24"/>
          <w:szCs w:val="24"/>
          <w:lang w:eastAsia="es-ES"/>
        </w:rPr>
        <w:t xml:space="preserve">, 2005: 177), lo que es tanto como reconocer que los sujetos ganan capacidad de pensamiento y de acción, obtienen autonomía desde la dependencia </w:t>
      </w:r>
      <w:proofErr w:type="spellStart"/>
      <w:r w:rsidRPr="004D4319">
        <w:rPr>
          <w:rFonts w:ascii="Arial" w:eastAsia="Times New Roman" w:hAnsi="Arial" w:cs="Arial"/>
          <w:sz w:val="24"/>
          <w:szCs w:val="24"/>
          <w:lang w:eastAsia="es-ES"/>
        </w:rPr>
        <w:t>ecosistémica</w:t>
      </w:r>
      <w:proofErr w:type="spellEnd"/>
      <w:r w:rsidRPr="004D4319">
        <w:rPr>
          <w:rFonts w:ascii="Arial" w:eastAsia="Times New Roman" w:hAnsi="Arial" w:cs="Arial"/>
          <w:sz w:val="24"/>
          <w:szCs w:val="24"/>
          <w:lang w:eastAsia="es-ES"/>
        </w:rPr>
        <w:t xml:space="preserve">, de tal modo que el sujeto tiene conciencia de sí en la medida que forma parte activa de la naturaleza y de la sociedad. Precisamente, el conocimiento sobre los límites ecológicos y la preocupación por las futuras condiciones de vida en el planeta (conciencia) vuelven a poner en escena renovados aspectos de la subjetividad humana y de la autonomía ética. Surge así una nueva paradoja: la autonomía individual se obtiene gracias a la pertenencia a un contexto relacional, o a un ecosistema, y ese pertenecer a un entorno significa un cierto grado de dependencia. La autonomía individual no puede pensarse sin la autonomía de los otros, o sí se prefiere, de la dependencia de los otros. </w:t>
      </w:r>
    </w:p>
    <w:p w:rsidR="00EE48C9" w:rsidRPr="004D4319" w:rsidRDefault="007C6D93" w:rsidP="004D4319">
      <w:pPr>
        <w:spacing w:before="100" w:beforeAutospacing="1" w:after="100" w:afterAutospacing="1" w:line="240" w:lineRule="auto"/>
        <w:jc w:val="both"/>
        <w:outlineLvl w:val="0"/>
        <w:rPr>
          <w:rFonts w:ascii="Arial" w:eastAsia="Times New Roman" w:hAnsi="Arial" w:cs="Arial"/>
          <w:b/>
          <w:bCs/>
          <w:kern w:val="36"/>
          <w:sz w:val="24"/>
          <w:szCs w:val="24"/>
          <w:lang w:eastAsia="es-ES"/>
        </w:rPr>
      </w:pPr>
      <w:hyperlink r:id="rId6" w:anchor="tocfrom1n6" w:history="1">
        <w:r w:rsidR="00EE48C9" w:rsidRPr="004D4319">
          <w:rPr>
            <w:rFonts w:ascii="Arial" w:eastAsia="Times New Roman" w:hAnsi="Arial" w:cs="Arial"/>
            <w:b/>
            <w:bCs/>
            <w:color w:val="0000FF"/>
            <w:kern w:val="36"/>
            <w:sz w:val="24"/>
            <w:szCs w:val="24"/>
            <w:u w:val="single"/>
            <w:lang w:eastAsia="es-ES"/>
          </w:rPr>
          <w:t>Un recorrido histórico que lleva a la convergencia de los nuevos movimientos sociales</w:t>
        </w:r>
      </w:hyperlink>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Los movimientos sociales son un sistema de comunicación interactivo que media entre los sujetos y la política. Tal y como señala </w:t>
      </w:r>
      <w:proofErr w:type="spellStart"/>
      <w:r w:rsidRPr="004D4319">
        <w:rPr>
          <w:rFonts w:ascii="Arial" w:eastAsia="Times New Roman" w:hAnsi="Arial" w:cs="Arial"/>
          <w:sz w:val="24"/>
          <w:szCs w:val="24"/>
          <w:lang w:eastAsia="es-ES"/>
        </w:rPr>
        <w:t>Melucci</w:t>
      </w:r>
      <w:proofErr w:type="spellEnd"/>
      <w:r w:rsidRPr="004D4319">
        <w:rPr>
          <w:rFonts w:ascii="Arial" w:eastAsia="Times New Roman" w:hAnsi="Arial" w:cs="Arial"/>
          <w:sz w:val="24"/>
          <w:szCs w:val="24"/>
          <w:lang w:eastAsia="es-ES"/>
        </w:rPr>
        <w:t xml:space="preserve"> (1994: 146) presentan la singularidad, frente a las organizaciones, de que el resultado más propio de su acción es dotar de sentido a la acción individual y colectiva. De tal modo que el proyecto histórico (sobre la base de un diagnóstico, una identidad compartida y un pronóstico optimista) se encuentra inevitablemente cargado de representaciones y valores, de ideología, en consecuencia. El proyecto histórico es un proyecto utópico </w:t>
      </w:r>
      <w:r w:rsidRPr="004D4319">
        <w:rPr>
          <w:rFonts w:ascii="Arial" w:eastAsia="Times New Roman" w:hAnsi="Arial" w:cs="Arial"/>
          <w:sz w:val="24"/>
          <w:szCs w:val="24"/>
          <w:lang w:eastAsia="es-ES"/>
        </w:rPr>
        <w:lastRenderedPageBreak/>
        <w:t xml:space="preserve">que mira al futuro, pero que también deviene del pasado. En cierto sentido los movimientos sociales son siempre una síntesis de sus antecesores, de las ideologías, métodos y prácticas de antaño, de modo que el proyecto histórico de futuro no se podría entender sin conocer la trayectoria, los vínculos históricos que muestran la versátil adaptación de los movimientos sociales a cada contexto histórico. La historia de la humanidad, afirmaría Karl Marx, es la historia de la lucha de clases. Más propiamente, si incorporamos la perspectiva subjetiva de los individuos, habría que decir que la historia de la humanidad es la historia del éxito, y también del fracaso, de las luchas sociales desplegadas por los movimientos sociales. Retomemos el hilo histórico para imaginar el nuevo paradigma que representa el icono de “otro mundo es posible” y  sus mentores: los “novísimos” movimientos sociales </w:t>
      </w:r>
      <w:proofErr w:type="spellStart"/>
      <w:r w:rsidRPr="004D4319">
        <w:rPr>
          <w:rFonts w:ascii="Arial" w:eastAsia="Times New Roman" w:hAnsi="Arial" w:cs="Arial"/>
          <w:sz w:val="24"/>
          <w:szCs w:val="24"/>
          <w:lang w:eastAsia="es-ES"/>
        </w:rPr>
        <w:t>alterglobalizadores</w:t>
      </w:r>
      <w:proofErr w:type="spellEnd"/>
      <w:r w:rsidRPr="004D4319">
        <w:rPr>
          <w:rFonts w:ascii="Arial" w:eastAsia="Times New Roman" w:hAnsi="Arial" w:cs="Arial"/>
          <w:sz w:val="24"/>
          <w:szCs w:val="24"/>
          <w:lang w:eastAsia="es-ES"/>
        </w:rPr>
        <w:t>.</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El hilo de los movimientos sociales </w:t>
      </w:r>
      <w:proofErr w:type="spellStart"/>
      <w:r w:rsidRPr="004D4319">
        <w:rPr>
          <w:rFonts w:ascii="Arial" w:eastAsia="Times New Roman" w:hAnsi="Arial" w:cs="Arial"/>
          <w:sz w:val="24"/>
          <w:szCs w:val="24"/>
          <w:lang w:eastAsia="es-ES"/>
        </w:rPr>
        <w:t>antisistémicos</w:t>
      </w:r>
      <w:proofErr w:type="spellEnd"/>
      <w:r w:rsidRPr="004D4319">
        <w:rPr>
          <w:rFonts w:ascii="Arial" w:eastAsia="Times New Roman" w:hAnsi="Arial" w:cs="Arial"/>
          <w:sz w:val="24"/>
          <w:szCs w:val="24"/>
          <w:lang w:eastAsia="es-ES"/>
        </w:rPr>
        <w:t xml:space="preserve">, de marcado carácter universalista, viene constituido por los siguientes hitos: 1848 (Revolución en Europa), 1871 (Comuna de París), 1917 (Revolución Soviética), 1968 (y su prolongación hacía 1989 –fin del Socialismo Real), 2000-2004 (movimientos </w:t>
      </w:r>
      <w:proofErr w:type="spellStart"/>
      <w:r w:rsidRPr="004D4319">
        <w:rPr>
          <w:rFonts w:ascii="Arial" w:eastAsia="Times New Roman" w:hAnsi="Arial" w:cs="Arial"/>
          <w:sz w:val="24"/>
          <w:szCs w:val="24"/>
          <w:lang w:eastAsia="es-ES"/>
        </w:rPr>
        <w:t>alterglobalización</w:t>
      </w:r>
      <w:proofErr w:type="spellEnd"/>
      <w:r w:rsidRPr="004D4319">
        <w:rPr>
          <w:rFonts w:ascii="Arial" w:eastAsia="Times New Roman" w:hAnsi="Arial" w:cs="Arial"/>
          <w:sz w:val="24"/>
          <w:szCs w:val="24"/>
          <w:lang w:eastAsia="es-ES"/>
        </w:rPr>
        <w:t xml:space="preserve">). Los tres primeros se corresponden con el auge y desarrollo del movimiento obrero, mientras que los tres últimos se corresponden con lo que conocemos como nuevos y “novísimos” movimientos sociales.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En los primeros hitos se identifica el movimiento obrero como un movimiento moderno que se inscribe en el eje de la contradicción capital-trabajo, eje cuya naturaleza materialista dota de una significativa centralidad a la dimensión económica. La contradicción capital-trabajo es, efectivamente, el nodo central, pero esa relación es inseparable, en su proceso de despliegue, del modelo de uso y de gestión de los recursos naturales: detrae materias que devuelve en forma de residuos. El sistema de explotación, vincula la plusvalía al impacto ambiental, de hecho son conceptos inseparables. Marx define el concepto de trabajo como lo que media entre el hombre con la naturaleza para obtener los recursos que satisfagan sus necesidades y su resultado es la producción y los fenómenos económicos que de ellas se derivan. La perspectiva del trabajo como </w:t>
      </w:r>
      <w:r w:rsidR="00807083" w:rsidRPr="004D4319">
        <w:rPr>
          <w:rFonts w:ascii="Arial" w:eastAsia="Times New Roman" w:hAnsi="Arial" w:cs="Arial"/>
          <w:sz w:val="24"/>
          <w:szCs w:val="24"/>
          <w:lang w:eastAsia="es-ES"/>
        </w:rPr>
        <w:t>vínculo</w:t>
      </w:r>
      <w:r w:rsidRPr="004D4319">
        <w:rPr>
          <w:rFonts w:ascii="Arial" w:eastAsia="Times New Roman" w:hAnsi="Arial" w:cs="Arial"/>
          <w:sz w:val="24"/>
          <w:szCs w:val="24"/>
          <w:lang w:eastAsia="es-ES"/>
        </w:rPr>
        <w:t xml:space="preserve"> entre el hombre y la naturaleza se pierde a través del proceso de alineación que enajena a los hombres del trabajo, de la producción y de los propios hombres en su relación con el proceso de producción. Esta enajenación separa al hombre de la naturaleza.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Por tanto, de forma incipiente se apuntan otras dimensiones de la contradicción: en la dimensión cultural es la experiencia de deshumanización del hombre bajo el sistema capitalista en cuanto pierde lo que le es propio, que es gobernar sus propias vidas y su propio destino mediante el trabajo y la cooperación con otros hombres. Los hombres, se encuentran, por tanto, gobernados por fuerzas ajenas o extrañas a ellos; fuerzas que no controlan y a las que se ven sometidos, de donde se desprende una perspectiva autonomista del movimiento obrero en el control del proceso de producción; y, también, se pone en evidencia, aunque de una forma incipiente la problemática ambiental, de la mano de Federico Engels (“La situación de la clase obrera en Inglaterra”) en el que se considera uno de los primeros textos </w:t>
      </w:r>
      <w:r w:rsidRPr="004D4319">
        <w:rPr>
          <w:rFonts w:ascii="Arial" w:eastAsia="Times New Roman" w:hAnsi="Arial" w:cs="Arial"/>
          <w:sz w:val="24"/>
          <w:szCs w:val="24"/>
          <w:lang w:eastAsia="es-ES"/>
        </w:rPr>
        <w:lastRenderedPageBreak/>
        <w:t>de denuncia ecologista, poniendo en evidencia las condiciones de vida insalubres de los trabajadores en los barrios obreros de las incipientes ciudades industriales.</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El despliegue del modo de producción capitalista en su expansión va dejando ver las contradicciones que tienen respuestas más claras en la dimensión económica y más parciales y difusas en las otras dimensiones. El movimiento obrero se va adaptando a las distintas fases de expansión del modelo y va motivando y matizándose en movimientos colaterales vinculados al mismo como pudo ser el sufragismo, el </w:t>
      </w:r>
      <w:proofErr w:type="spellStart"/>
      <w:r w:rsidRPr="004D4319">
        <w:rPr>
          <w:rFonts w:ascii="Arial" w:eastAsia="Times New Roman" w:hAnsi="Arial" w:cs="Arial"/>
          <w:sz w:val="24"/>
          <w:szCs w:val="24"/>
          <w:lang w:eastAsia="es-ES"/>
        </w:rPr>
        <w:t>ludismo</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antimaquinis</w:t>
      </w:r>
      <w:proofErr w:type="spellEnd"/>
      <w:r w:rsidRPr="004D4319">
        <w:rPr>
          <w:rFonts w:ascii="Arial" w:eastAsia="Times New Roman" w:hAnsi="Arial" w:cs="Arial"/>
          <w:sz w:val="24"/>
          <w:szCs w:val="24"/>
          <w:lang w:eastAsia="es-ES"/>
        </w:rPr>
        <w:t xml:space="preserve">-tas), el pacifismo, como experiencias que muestran  rasgos adelantados de las contradicciones que se producen en la dimensión cultural, social y ambiental. El incipiente movimiento feminista es un buen ejemplo. Las mujeres representan para el sistema un </w:t>
      </w:r>
      <w:r w:rsidR="0025693D" w:rsidRPr="004D4319">
        <w:rPr>
          <w:rFonts w:ascii="Arial" w:eastAsia="Times New Roman" w:hAnsi="Arial" w:cs="Arial"/>
          <w:sz w:val="24"/>
          <w:szCs w:val="24"/>
          <w:lang w:eastAsia="es-ES"/>
        </w:rPr>
        <w:t>ejército</w:t>
      </w:r>
      <w:r w:rsidRPr="004D4319">
        <w:rPr>
          <w:rFonts w:ascii="Arial" w:eastAsia="Times New Roman" w:hAnsi="Arial" w:cs="Arial"/>
          <w:sz w:val="24"/>
          <w:szCs w:val="24"/>
          <w:lang w:eastAsia="es-ES"/>
        </w:rPr>
        <w:t xml:space="preserve"> de reserva de mano de obra que en la medida que se incorporan al mercado, mercantilizándose su fuerza de trabajo, se pone en evidencia la dominación patriarcal como dominación cultural que dará píe al movimiento feminista.</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Si bien, la creciente división social del trabajo, la creciente incorporación de los criterios de organización científica del trabajo y la creciente agrupación de los trabajadores en unidades productivas (factorías) desplaza del ámbito de la producción al sujeto-trabajador con capacidad creativa y destrezas profesionales. La </w:t>
      </w:r>
      <w:proofErr w:type="spellStart"/>
      <w:r w:rsidRPr="004D4319">
        <w:rPr>
          <w:rFonts w:ascii="Arial" w:eastAsia="Times New Roman" w:hAnsi="Arial" w:cs="Arial"/>
          <w:sz w:val="24"/>
          <w:szCs w:val="24"/>
          <w:lang w:eastAsia="es-ES"/>
        </w:rPr>
        <w:t>asalarización</w:t>
      </w:r>
      <w:proofErr w:type="spellEnd"/>
      <w:r w:rsidRPr="004D4319">
        <w:rPr>
          <w:rFonts w:ascii="Arial" w:eastAsia="Times New Roman" w:hAnsi="Arial" w:cs="Arial"/>
          <w:sz w:val="24"/>
          <w:szCs w:val="24"/>
          <w:lang w:eastAsia="es-ES"/>
        </w:rPr>
        <w:t xml:space="preserve"> y la aplicación de la organización científica del trabajo, conllevan una organización de los trabajadores relativamente separada del “puesto de trabajo”. La adaptación de la estrategia del movimiento obrero a un ámbito parcial de la contradicción capital-trabajo, como es la confrontación respecto del reparto de la plusvalía, le separa de la centralidad en la superación de la contradicción obviando, o al menos relegando a un segundo plano, la apropiación de los medios de producción, el control de la actividad productiva y la intervención en la distribución del producto.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Así el movimiento obrero terminó por orientarse hacia la creación organizaciones sindicales fuertes y eficaces (con gran riesgo de institucionalización) para tener la suficiente capacidad como para interrumpir, a través de instrumentos como la huelga, el proceso de producción, en una lógica de lucha contra la explotación económica que se expresa  en términos más economicistas, que culturales. La contradicción se expresa, así,  casi exclusivamente en el valor-mercancía que tiene o debe de tener la fuerza de trabajo en el mercado de trabajo, inscribiéndose una representación mercantilista que se alejaba, por tanto, de una perspectiva más cultural proclive a la superación de las condiciones de alienación. Mientras, que por su lado, desde la vertiente política del movimiento obrero, termina por imponerse la estrategia que busca el acceso al poder político como paso previo a la transformación revolucionaria de la sociedad, y la consiguiente obligatoriedad de inscribirse en una lógica estatista que relega a un segundo plano su perspectiva internacionalista originaria y cualquier atisbo cultural de antiautoritarismo y subjetividad.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Solo décadas después con el agotamiento del Estado de bienestar y debido a un doble vínculo paradójico emergen con fuerza los nuevos movimientos sociales. </w:t>
      </w:r>
      <w:r w:rsidRPr="004D4319">
        <w:rPr>
          <w:rFonts w:ascii="Arial" w:eastAsia="Times New Roman" w:hAnsi="Arial" w:cs="Arial"/>
          <w:sz w:val="24"/>
          <w:szCs w:val="24"/>
          <w:lang w:eastAsia="es-ES"/>
        </w:rPr>
        <w:lastRenderedPageBreak/>
        <w:t xml:space="preserve">Tanto los beneficios propios del Estado de bienestar, particularmente el pleno empleo y el acceso de los trabajadores al sistema educativo, como el desgaste de legitimidad política que sufre el modelo de bienestar por el déficit democrático que arrastra (democracia representativa), favorece el surgimiento de los nuevos movimientos sociales.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Así junto al eje tradicional de la contradicción capital-trabajo, vinculado al viejo movimiento obrero, y cuyo concepto clave, de naturaleza económica, es el de  “explotación”, se incorpora con el 68 el eje complejo de las contradicciones de orden cultural cuyo concepto clave es la “dominación” autoritaria: del hombre sobre la mujer, del blanco sobre el negro,  del colono sobre el indígena, del general sobre el soldado, del militar sobre el civil, del padre sobre el hijo... que dan paso a los movimientos estudiantiles, por los derechos civiles, feminista, antimilitarista, de objeción de conciencia, etc. Poco después, en la década de los setenta, tras evidenciarse la crisis energética y los impactos ambientales de un modelo productivista desbocado se completa la tríada con la incorporación del eje definido por la contradicción capital-naturaleza, cuyo concepto clave es la “expoliación“ del medio ambiente dando píe al desarrollo del movimiento ecologista. Los nuevos movimientos sociales incorporan la perspectiva dialógica de la simbiosis que hace complementarias las diferencias (de los elementos del ecosistema, de los géneros, de la edad, de las culturas), que a la vez se complementa con la perspectiva dialéctica de superación de la desigualdad en términos antagonistas. Se completa así el arco iris (rojo, malva, blanco, verde) de los movimientos sociales contemporáneos.</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El sentido histórico del cambio social manifiesta un recorrido </w:t>
      </w:r>
      <w:proofErr w:type="spellStart"/>
      <w:r w:rsidRPr="004D4319">
        <w:rPr>
          <w:rFonts w:ascii="Arial" w:eastAsia="Times New Roman" w:hAnsi="Arial" w:cs="Arial"/>
          <w:sz w:val="24"/>
          <w:szCs w:val="24"/>
          <w:lang w:eastAsia="es-ES"/>
        </w:rPr>
        <w:t>movimentista</w:t>
      </w:r>
      <w:proofErr w:type="spellEnd"/>
      <w:r w:rsidRPr="004D4319">
        <w:rPr>
          <w:rFonts w:ascii="Arial" w:eastAsia="Times New Roman" w:hAnsi="Arial" w:cs="Arial"/>
          <w:sz w:val="24"/>
          <w:szCs w:val="24"/>
          <w:lang w:eastAsia="es-ES"/>
        </w:rPr>
        <w:t xml:space="preserve"> que ha ido de un movimiento de tipo global / total hacia un desgranarse en diversos movimientos de tipo temático / sectorial  para volver, de forma enriquecida, mezclada, recogiendo, asociándolas, el conjunto de sensibilidades, identidades e ideologías hasta tal punto que cada uno de los nuevos movimientos no puede entenderse sin la concurrencia de los demás, es decir, cada movimiento ha ido construyendo su identidad en la relación sinérgica con el resto de movimientos, ya que cada marco interpretativo ha ido trenzándose en procesos crecientemente conectados entre sí, compartiéndose crecientemente las experiencias, las estructuras de oportunidades y los recursos.</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Cada uno de los ciclos de movilización y de los movimientos que a ellos van aparejados se muestran en cada momento como forma de síntesis cumulativa</w:t>
      </w:r>
      <w:r w:rsidR="00507DEF">
        <w:rPr>
          <w:rFonts w:ascii="Arial" w:eastAsia="Times New Roman" w:hAnsi="Arial" w:cs="Arial"/>
          <w:sz w:val="24"/>
          <w:szCs w:val="24"/>
          <w:lang w:eastAsia="es-ES"/>
        </w:rPr>
        <w:t xml:space="preserve"> </w:t>
      </w:r>
      <w:r w:rsidRPr="004D4319">
        <w:rPr>
          <w:rFonts w:ascii="Arial" w:eastAsia="Times New Roman" w:hAnsi="Arial" w:cs="Arial"/>
          <w:sz w:val="24"/>
          <w:szCs w:val="24"/>
          <w:lang w:eastAsia="es-ES"/>
        </w:rPr>
        <w:t xml:space="preserve">de las ideologías, estructuras, identidades y experiencias anteriores, incrementándose así la complejidad,  al tratarse de un proceso de procesos basados en una progresiva apertura hacia el espectro movilizador de las nuevas dimensiones, perspectivas y actores que, precisamente, vienen a poner de relieve la necesidad de una estrategia compleja encaminada a completar los derechos de ciudadanía.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8A44F6">
        <w:rPr>
          <w:rFonts w:ascii="Arial" w:eastAsia="Times New Roman" w:hAnsi="Arial" w:cs="Arial"/>
          <w:sz w:val="24"/>
          <w:szCs w:val="24"/>
          <w:lang w:eastAsia="es-ES"/>
        </w:rPr>
        <w:t xml:space="preserve">Dinámica cumulativa que se basa también la </w:t>
      </w:r>
      <w:proofErr w:type="gramStart"/>
      <w:r w:rsidRPr="008A44F6">
        <w:rPr>
          <w:rFonts w:ascii="Arial" w:eastAsia="Times New Roman" w:hAnsi="Arial" w:cs="Arial"/>
          <w:sz w:val="24"/>
          <w:szCs w:val="24"/>
          <w:lang w:eastAsia="es-ES"/>
        </w:rPr>
        <w:t>continua</w:t>
      </w:r>
      <w:proofErr w:type="gramEnd"/>
      <w:r w:rsidRPr="008A44F6">
        <w:rPr>
          <w:rFonts w:ascii="Arial" w:eastAsia="Times New Roman" w:hAnsi="Arial" w:cs="Arial"/>
          <w:sz w:val="24"/>
          <w:szCs w:val="24"/>
          <w:lang w:eastAsia="es-ES"/>
        </w:rPr>
        <w:t xml:space="preserve"> dialéctica organización social – movimiento social, que da más peso a una que a otra, dependiendo de las condiciones marcadas por el </w:t>
      </w:r>
      <w:proofErr w:type="spellStart"/>
      <w:r w:rsidRPr="008A44F6">
        <w:rPr>
          <w:rFonts w:ascii="Arial" w:eastAsia="Times New Roman" w:hAnsi="Arial" w:cs="Arial"/>
          <w:sz w:val="24"/>
          <w:szCs w:val="24"/>
          <w:lang w:eastAsia="es-ES"/>
        </w:rPr>
        <w:t>contex</w:t>
      </w:r>
      <w:proofErr w:type="spellEnd"/>
      <w:r w:rsidR="008A44F6" w:rsidRPr="008A44F6">
        <w:rPr>
          <w:rFonts w:ascii="Arial" w:eastAsia="Times New Roman" w:hAnsi="Arial" w:cs="Arial"/>
          <w:sz w:val="24"/>
          <w:szCs w:val="24"/>
          <w:lang w:eastAsia="es-ES"/>
        </w:rPr>
        <w:t xml:space="preserve"> </w:t>
      </w:r>
      <w:proofErr w:type="spellStart"/>
      <w:r w:rsidRPr="008A44F6">
        <w:rPr>
          <w:rFonts w:ascii="Arial" w:eastAsia="Times New Roman" w:hAnsi="Arial" w:cs="Arial"/>
          <w:sz w:val="24"/>
          <w:szCs w:val="24"/>
          <w:lang w:eastAsia="es-ES"/>
        </w:rPr>
        <w:t>to</w:t>
      </w:r>
      <w:proofErr w:type="spellEnd"/>
      <w:r w:rsidRPr="004D4319">
        <w:rPr>
          <w:rFonts w:ascii="Arial" w:eastAsia="Times New Roman" w:hAnsi="Arial" w:cs="Arial"/>
          <w:sz w:val="24"/>
          <w:szCs w:val="24"/>
          <w:lang w:eastAsia="es-ES"/>
        </w:rPr>
        <w:t xml:space="preserve"> concreto. Como se ha argumentado en otro </w:t>
      </w:r>
      <w:r w:rsidRPr="004D4319">
        <w:rPr>
          <w:rFonts w:ascii="Arial" w:eastAsia="Times New Roman" w:hAnsi="Arial" w:cs="Arial"/>
          <w:sz w:val="24"/>
          <w:szCs w:val="24"/>
          <w:lang w:eastAsia="es-ES"/>
        </w:rPr>
        <w:lastRenderedPageBreak/>
        <w:t xml:space="preserve">trabajo, desde ahí se viene a explicar el repliegue de los efectivos de los movimientos sociales hacia lo que se ha ido conformando en un tercer sector al que han trasladado mucho de la cultura y prácticas generadas en los nuevos movimientos sociales sobre todo en la década de los ochenta (eclosión de las organizaciones ambientalistas) y los noventa (eclosión de las </w:t>
      </w:r>
      <w:proofErr w:type="spellStart"/>
      <w:r w:rsidRPr="004D4319">
        <w:rPr>
          <w:rFonts w:ascii="Arial" w:eastAsia="Times New Roman" w:hAnsi="Arial" w:cs="Arial"/>
          <w:sz w:val="24"/>
          <w:szCs w:val="24"/>
          <w:lang w:eastAsia="es-ES"/>
        </w:rPr>
        <w:t>ONGs</w:t>
      </w:r>
      <w:proofErr w:type="spellEnd"/>
      <w:r w:rsidRPr="004D4319">
        <w:rPr>
          <w:rFonts w:ascii="Arial" w:eastAsia="Times New Roman" w:hAnsi="Arial" w:cs="Arial"/>
          <w:sz w:val="24"/>
          <w:szCs w:val="24"/>
          <w:lang w:eastAsia="es-ES"/>
        </w:rPr>
        <w:t xml:space="preserve"> humanitarias y contra la exclusión social). La mayoría de ellas son pequeñas estructuras con base territorial, micro organizaciones sociales e iniciativas que permiten combinar lo expresivo y lo instrumental, que permiten prácticas de autogestión, de autovaloración, de autonomía y también de mediación más directa entre los múltiples agentes que actúan en el mundo de la vida cotidiana. Que, en definitiva, pueden combinar eficazmente la reivindicación y la movilización con la puesta en práctica de experiencias de democracia participativa y gestión directa. Estas organizaciones han sido refugio para los activistas de los movimientos sociales en las fases de repliegue del ciclo de movilización, hasta que nuevas condiciones han posibilitado la creación de un nuevo repertorio de protesta (</w:t>
      </w:r>
      <w:proofErr w:type="spellStart"/>
      <w:r w:rsidRPr="004D4319">
        <w:rPr>
          <w:rFonts w:ascii="Arial" w:eastAsia="Times New Roman" w:hAnsi="Arial" w:cs="Arial"/>
          <w:sz w:val="24"/>
          <w:szCs w:val="24"/>
          <w:lang w:eastAsia="es-ES"/>
        </w:rPr>
        <w:t>Tilly</w:t>
      </w:r>
      <w:proofErr w:type="spellEnd"/>
      <w:r w:rsidRPr="004D4319">
        <w:rPr>
          <w:rFonts w:ascii="Arial" w:eastAsia="Times New Roman" w:hAnsi="Arial" w:cs="Arial"/>
          <w:sz w:val="24"/>
          <w:szCs w:val="24"/>
          <w:lang w:eastAsia="es-ES"/>
        </w:rPr>
        <w:t xml:space="preserve">, 1981), confirmándose así la validez del principio de la conservación de la energía social aportado por </w:t>
      </w:r>
      <w:proofErr w:type="spellStart"/>
      <w:r w:rsidRPr="004D4319">
        <w:rPr>
          <w:rFonts w:ascii="Arial" w:eastAsia="Times New Roman" w:hAnsi="Arial" w:cs="Arial"/>
          <w:sz w:val="24"/>
          <w:szCs w:val="24"/>
          <w:lang w:eastAsia="es-ES"/>
        </w:rPr>
        <w:t>Hirschman</w:t>
      </w:r>
      <w:proofErr w:type="spellEnd"/>
      <w:r w:rsidRPr="004D4319">
        <w:rPr>
          <w:rFonts w:ascii="Arial" w:eastAsia="Times New Roman" w:hAnsi="Arial" w:cs="Arial"/>
          <w:sz w:val="24"/>
          <w:szCs w:val="24"/>
          <w:lang w:eastAsia="es-ES"/>
        </w:rPr>
        <w:t xml:space="preserve"> para el contexto latinoamericano (</w:t>
      </w:r>
      <w:proofErr w:type="spellStart"/>
      <w:r w:rsidRPr="004D4319">
        <w:rPr>
          <w:rFonts w:ascii="Arial" w:eastAsia="Times New Roman" w:hAnsi="Arial" w:cs="Arial"/>
          <w:sz w:val="24"/>
          <w:szCs w:val="24"/>
          <w:lang w:eastAsia="es-ES"/>
        </w:rPr>
        <w:t>Hirschman</w:t>
      </w:r>
      <w:proofErr w:type="spellEnd"/>
      <w:r w:rsidRPr="004D4319">
        <w:rPr>
          <w:rFonts w:ascii="Arial" w:eastAsia="Times New Roman" w:hAnsi="Arial" w:cs="Arial"/>
          <w:sz w:val="24"/>
          <w:szCs w:val="24"/>
          <w:lang w:eastAsia="es-ES"/>
        </w:rPr>
        <w:t xml:space="preserve">, 1986).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La eclosión de miles de organizaciones, de miles de movilizaciones, de miles de encuentros de composición plural de las que participan millones de personas como nunca antes en la historia, junto a la emergencia de innovadoras experiencias participativas desarrolladas en el mundo de la vida cotidiana y en el ámbito local, apuntan un proceso de permeabilidad y convergencia múltiple que tampoco tiene precedentes: de convergencia intergeneracional, de convergencia de redes, de convergencia de identidades, de convergencia de ideologías, de territorios. Así podríamos considerar el carácter múltiple y complejo de la convergencia desde tres dimensiones:</w:t>
      </w:r>
    </w:p>
    <w:p w:rsidR="00083AE3"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Dimensión diacrónica (el tiempo): entre lo nuevo y lo viejo.</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Dimensión sincrónica (el espacio): entre el Norte y el Sur.</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Dimensión estructural: entre organizaciones, movimientos y colectivos de distinta cultura y composición organizativa.</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Esta permeabilidad y asociación múltiple, que se puede ejemplificar en los Foros Sociales Mundiales, posibilita combinar la diferencia en los objetivos y la unidad de acción posibilitando la construcción de proyectos en común sobre la base de la preservación de los atributos propios, es decir, que las particularidades tienden a implicarse en la construcción común y al hacerlo se ven potenciados como particularidades en cooperación, pero también se ven modificados sin sentir menoscabo de su singularidad. Se construye así un movimiento de movimientos a través de la creación de:</w:t>
      </w:r>
      <w:r w:rsidR="00370E29">
        <w:rPr>
          <w:rFonts w:ascii="Arial" w:eastAsia="Times New Roman" w:hAnsi="Arial" w:cs="Arial"/>
          <w:sz w:val="24"/>
          <w:szCs w:val="24"/>
          <w:lang w:eastAsia="es-ES"/>
        </w:rPr>
        <w:t xml:space="preserve"> </w:t>
      </w:r>
      <w:r w:rsidRPr="004D4319">
        <w:rPr>
          <w:rFonts w:ascii="Arial" w:eastAsia="Times New Roman" w:hAnsi="Arial" w:cs="Arial"/>
          <w:sz w:val="24"/>
          <w:szCs w:val="24"/>
          <w:lang w:eastAsia="es-ES"/>
        </w:rPr>
        <w:t xml:space="preserve">Una ideología de ideologías: El viejo movimiento obrero produjo un haz de ideologías en una tendencia a desgranarse en orientaciones exclusivistas, apartándose de lo que un principio pudo suponer la agrupación universalista de la 1ª Internacional. Los imperativos establecidos por la consolidación de fuertes Estados-nación dirigidos por sus respectivas y </w:t>
      </w:r>
      <w:r w:rsidRPr="004D4319">
        <w:rPr>
          <w:rFonts w:ascii="Arial" w:eastAsia="Times New Roman" w:hAnsi="Arial" w:cs="Arial"/>
          <w:sz w:val="24"/>
          <w:szCs w:val="24"/>
          <w:lang w:eastAsia="es-ES"/>
        </w:rPr>
        <w:lastRenderedPageBreak/>
        <w:t>diferenciales burguesías obligaron al movimiento obrero a ir derivando su actuación al ámbito localista del Estado correspondiente. Las dificultades para establecer estrategias conjuntas y la idiosincrasia política de cada coyuntura nacional, junto a la desorientación que produjo los rápidos cambios técnicos en el proceso industrial, ciertamente influyeron en la división del propio movimiento obrero en diferentes corrientes: anarquismo, socialismo utópico, marxismo, socialdemocracia... Precisamente, uno de los aspectos significativos del desencuentro entre el anarquismo y el marxismo se ha expresado en el debate sobre la escala adecuada donde debería organizarse la lucha social y constituirse la alternativa. Hoy, sin embargo, la tensión entre particularidad y universalidad, es una tensión creativa, donde la traducción de lo concreto a lo abstracto y viceversa, magnifica la repolitización permanente de la sociedad civil donde lo personal y lo universal se combinan y retroalimentan a través de la política. Así la incorporación del sujeto concreto a la práctica de la acción colectiva concreta le transforma en un “ser genérico” (capacidad de universalización del ser humano) que aspira a la asociación con los otros sujetos-seres genéricos estableciendo la adecuada unión entre intereses particulares y la articulación entre distintas esferas de intereses comunes (Harvey, 2003: 104-110).</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El discurrir del siglo XX  y los cambios tecnológicos y de la estructura social que se producen con rapidez complejizan los conflictos sociales al emerger nuevas contradicciones. Aparecen nuevos movimientos que responden a la realidad de nuevos conflictos cuya naturaleza es de orden cultural, territorial ambiental, social, relativamente separadas de la centralidad económica. Se van, así, construyendo diversas orientaciones ideológicas dimensionadas, de respuestas asociadas a contradicciones concretas, pero que, a la vez que introducen innovaciones, recogen partes de la experiencia y de las representaciones de las corrientes ideológicas tradicionales. Por otro lado, el origen sistémico común de los conflictos sociales hace que las respuestas sean crecientemente compartidas poniéndose de relieve el carácter complementario y transversal de los distintos movimientos. Finalmente, la confluencia y el contraste de ideas, la elaboración conjunta de propuestas y la puesta en práctica de experiencias compartidas generan nuevos vínculos de complicidad y reciprocidad que llevan a la conformación ideología </w:t>
      </w:r>
      <w:proofErr w:type="spellStart"/>
      <w:r w:rsidRPr="004D4319">
        <w:rPr>
          <w:rFonts w:ascii="Arial" w:eastAsia="Times New Roman" w:hAnsi="Arial" w:cs="Arial"/>
          <w:sz w:val="24"/>
          <w:szCs w:val="24"/>
          <w:lang w:eastAsia="es-ES"/>
        </w:rPr>
        <w:t>antiglobalista</w:t>
      </w:r>
      <w:proofErr w:type="spellEnd"/>
      <w:r w:rsidRPr="004D4319">
        <w:rPr>
          <w:rFonts w:ascii="Arial" w:eastAsia="Times New Roman" w:hAnsi="Arial" w:cs="Arial"/>
          <w:sz w:val="24"/>
          <w:szCs w:val="24"/>
          <w:lang w:eastAsia="es-ES"/>
        </w:rPr>
        <w:t xml:space="preserve"> como una no-ideología (Ibarra; Martí, 2003: 290-291) que ante todo antepone la prevención frente la inhabilitación del sectarismo y al riesgo de  institucionalización de los movimientos, considerando la puesta en común de la pluralidad de subjetividades como un atributo </w:t>
      </w:r>
      <w:proofErr w:type="spellStart"/>
      <w:r w:rsidRPr="004D4319">
        <w:rPr>
          <w:rFonts w:ascii="Arial" w:eastAsia="Times New Roman" w:hAnsi="Arial" w:cs="Arial"/>
          <w:sz w:val="24"/>
          <w:szCs w:val="24"/>
          <w:lang w:eastAsia="es-ES"/>
        </w:rPr>
        <w:t>identitario</w:t>
      </w:r>
      <w:proofErr w:type="spellEnd"/>
      <w:r w:rsidRPr="004D4319">
        <w:rPr>
          <w:rFonts w:ascii="Arial" w:eastAsia="Times New Roman" w:hAnsi="Arial" w:cs="Arial"/>
          <w:sz w:val="24"/>
          <w:szCs w:val="24"/>
          <w:lang w:eastAsia="es-ES"/>
        </w:rPr>
        <w:t>.</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Pero a la ética (de los valores universales) no se llega de forma abstracta, o con imposiciones externas a las identidades, a las redes, a las ideologías, sino que se alcanza mediante proyectos vivos, mediante prácticas concretas y contrastadas que aspiran a enredarse de manera horizontal en esa estrategia de convergencia. Los movimientos tienen como reto la ciudadanía y hoy la ciudadanía se </w:t>
      </w:r>
      <w:r w:rsidR="00E1366A" w:rsidRPr="004D4319">
        <w:rPr>
          <w:rFonts w:ascii="Arial" w:eastAsia="Times New Roman" w:hAnsi="Arial" w:cs="Arial"/>
          <w:sz w:val="24"/>
          <w:szCs w:val="24"/>
          <w:lang w:eastAsia="es-ES"/>
        </w:rPr>
        <w:t>obtiene</w:t>
      </w:r>
      <w:r w:rsidRPr="004D4319">
        <w:rPr>
          <w:rFonts w:ascii="Arial" w:eastAsia="Times New Roman" w:hAnsi="Arial" w:cs="Arial"/>
          <w:sz w:val="24"/>
          <w:szCs w:val="24"/>
          <w:lang w:eastAsia="es-ES"/>
        </w:rPr>
        <w:t xml:space="preserve"> enraizándose en la realidad de la vida cotidiana generando procesos de conocimiento y comunicación que permitan el acceso a la conciencia y a la praxis transformadora. La construcción de identidades colectivas inclusivas y </w:t>
      </w:r>
      <w:proofErr w:type="spellStart"/>
      <w:r w:rsidRPr="004D4319">
        <w:rPr>
          <w:rFonts w:ascii="Arial" w:eastAsia="Times New Roman" w:hAnsi="Arial" w:cs="Arial"/>
          <w:sz w:val="24"/>
          <w:szCs w:val="24"/>
          <w:lang w:eastAsia="es-ES"/>
        </w:rPr>
        <w:t>transpenetradas</w:t>
      </w:r>
      <w:proofErr w:type="spellEnd"/>
      <w:r w:rsidRPr="004D4319">
        <w:rPr>
          <w:rFonts w:ascii="Arial" w:eastAsia="Times New Roman" w:hAnsi="Arial" w:cs="Arial"/>
          <w:sz w:val="24"/>
          <w:szCs w:val="24"/>
          <w:lang w:eastAsia="es-ES"/>
        </w:rPr>
        <w:t xml:space="preserve"> conlleva la asociación entre lo personal y lo político. Lo político </w:t>
      </w:r>
      <w:r w:rsidRPr="004D4319">
        <w:rPr>
          <w:rFonts w:ascii="Arial" w:eastAsia="Times New Roman" w:hAnsi="Arial" w:cs="Arial"/>
          <w:sz w:val="24"/>
          <w:szCs w:val="24"/>
          <w:lang w:eastAsia="es-ES"/>
        </w:rPr>
        <w:lastRenderedPageBreak/>
        <w:t xml:space="preserve">tiene que personalizarse (humanizarse), lo personal tiene que politizarse (socializarse y corresponsabilizarse), de tal modo que la transformación política empieza por uno mismo ya que la modificación del “yo” se realiza socialmente.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Los nuevos movimientos sociales surgidos del 68 aportan la idea de la “revolución de la vida cotidiana” como irreductible para cambiar la vida, lo personal y lo político se fusionan. Tal y como expresa David Harvey “los movimientos en torno a los derechos humanos, el medio ambiente y la situación de las mujeres ilustran las posibles formas en que se pueden establecer políticas (...) para tender un puente entre la micro</w:t>
      </w:r>
      <w:r w:rsidR="00DA775D">
        <w:rPr>
          <w:rFonts w:ascii="Arial" w:eastAsia="Times New Roman" w:hAnsi="Arial" w:cs="Arial"/>
          <w:sz w:val="24"/>
          <w:szCs w:val="24"/>
          <w:lang w:eastAsia="es-ES"/>
        </w:rPr>
        <w:t>-</w:t>
      </w:r>
      <w:r w:rsidRPr="004D4319">
        <w:rPr>
          <w:rFonts w:ascii="Arial" w:eastAsia="Times New Roman" w:hAnsi="Arial" w:cs="Arial"/>
          <w:sz w:val="24"/>
          <w:szCs w:val="24"/>
          <w:lang w:eastAsia="es-ES"/>
        </w:rPr>
        <w:t>escala del cuerpo y lo personal, por una parte, y la macro</w:t>
      </w:r>
      <w:r w:rsidR="00F552DE">
        <w:rPr>
          <w:rFonts w:ascii="Arial" w:eastAsia="Times New Roman" w:hAnsi="Arial" w:cs="Arial"/>
          <w:sz w:val="24"/>
          <w:szCs w:val="24"/>
          <w:lang w:eastAsia="es-ES"/>
        </w:rPr>
        <w:t>-</w:t>
      </w:r>
      <w:r w:rsidRPr="004D4319">
        <w:rPr>
          <w:rFonts w:ascii="Arial" w:eastAsia="Times New Roman" w:hAnsi="Arial" w:cs="Arial"/>
          <w:sz w:val="24"/>
          <w:szCs w:val="24"/>
          <w:lang w:eastAsia="es-ES"/>
        </w:rPr>
        <w:t>escala de lo planetario y lo económico-político por otra” (Harvey, 2003: 68-69). No se trata de otra cosa que de humanizar las complejas relaciones en sus múltiples dimensiones. Afrontar la complejidad solo puede ser desde la complejidad.  En nuestro caso, desde la complejidad que representa la convergencia de los movimientos en un movimiento que es a la vez unitario y plural, que es capaz de combinar la teoría con la práctica, lo individual con lo colectivo, la identidad con la alteridad, lo local con lo global, que permite, en suma, proyectar una propuesta de futuro, una nueva cultura política, un nuevo paradigma social que pretende la construcción creativa e interactiva de nuevas relaciones entre los actores-sectores sociales.</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La evidencia empírica de la nueva ciudadanía y de la puesta en práctica de la ética discursiva que es acogida y desarrollada por los nuevos movimientos sociales se despliega en infinitas experiencias de muy compleja naturaleza. Dar cuenta de ello es difícil teniendo en cuenta la invisibilidad de los procesos que se producen en el ámbito local, si bien se pueden apuntar los grandes síntomas que nos ayudan a pensar en hipótesis optimistas sobre un nuevo paradigma. Ya se ha dado cuenta de la  eclosión de miles de organizaciones sociales, de los  encuentros de miles de activistas de los movimientos en los Foros Sociales Mundiales y de las grandes movilizaciones a las que hemos asistido en los últimos años. Cabe añadir el creciente protagonismo que adquieren los municipios y ciudades como actores políticos que se proyectan en innumerables experiencias de innovación democrática que en muchas ocasiones establecen procesos de construcción conjunta con las entidades y movimientos sociales. El protagonismo creciente por parte de las pequeñas estructuras de “poder local” lleva aparejada la articulación de las mismas siendo un ejemplo de ello el hermanamiento entre ciudades y municipios o las innumerables redes de ciudades que desarrollan proyectos conjuntos e intercambian experiencias y recursos. Pero para alcanzar un  nuevo paradigma los nuevos movimientos sociales tienen importantes desafíos que acometer.</w:t>
      </w:r>
    </w:p>
    <w:p w:rsidR="00EE48C9" w:rsidRPr="004D4319" w:rsidRDefault="007C6D93" w:rsidP="004D4319">
      <w:pPr>
        <w:spacing w:before="100" w:beforeAutospacing="1" w:after="100" w:afterAutospacing="1" w:line="240" w:lineRule="auto"/>
        <w:jc w:val="both"/>
        <w:outlineLvl w:val="0"/>
        <w:rPr>
          <w:rFonts w:ascii="Arial" w:eastAsia="Times New Roman" w:hAnsi="Arial" w:cs="Arial"/>
          <w:b/>
          <w:bCs/>
          <w:kern w:val="36"/>
          <w:sz w:val="24"/>
          <w:szCs w:val="24"/>
          <w:lang w:eastAsia="es-ES"/>
        </w:rPr>
      </w:pPr>
      <w:hyperlink r:id="rId7" w:anchor="tocfrom1n7" w:history="1">
        <w:r w:rsidR="00EE48C9" w:rsidRPr="004D4319">
          <w:rPr>
            <w:rFonts w:ascii="Arial" w:eastAsia="Times New Roman" w:hAnsi="Arial" w:cs="Arial"/>
            <w:b/>
            <w:bCs/>
            <w:color w:val="0000FF"/>
            <w:kern w:val="36"/>
            <w:sz w:val="24"/>
            <w:szCs w:val="24"/>
            <w:u w:val="single"/>
            <w:lang w:eastAsia="es-ES"/>
          </w:rPr>
          <w:t>Los retos de los nuevos movimientos sociales</w:t>
        </w:r>
      </w:hyperlink>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Estamos instalados en plena sociedad del riesgo, en un discurrir cuya característica más evidente es precisamente la indefinición, la incertidumbre, el no saber hac</w:t>
      </w:r>
      <w:r w:rsidR="00F12A84">
        <w:rPr>
          <w:rFonts w:ascii="Arial" w:eastAsia="Times New Roman" w:hAnsi="Arial" w:cs="Arial"/>
          <w:sz w:val="24"/>
          <w:szCs w:val="24"/>
          <w:lang w:eastAsia="es-ES"/>
        </w:rPr>
        <w:t>i</w:t>
      </w:r>
      <w:r w:rsidRPr="004D4319">
        <w:rPr>
          <w:rFonts w:ascii="Arial" w:eastAsia="Times New Roman" w:hAnsi="Arial" w:cs="Arial"/>
          <w:sz w:val="24"/>
          <w:szCs w:val="24"/>
          <w:lang w:eastAsia="es-ES"/>
        </w:rPr>
        <w:t xml:space="preserve">a </w:t>
      </w:r>
      <w:r w:rsidR="00E14EB7" w:rsidRPr="004D4319">
        <w:rPr>
          <w:rFonts w:ascii="Arial" w:eastAsia="Times New Roman" w:hAnsi="Arial" w:cs="Arial"/>
          <w:sz w:val="24"/>
          <w:szCs w:val="24"/>
          <w:lang w:eastAsia="es-ES"/>
        </w:rPr>
        <w:t>dónde</w:t>
      </w:r>
      <w:r w:rsidRPr="004D4319">
        <w:rPr>
          <w:rFonts w:ascii="Arial" w:eastAsia="Times New Roman" w:hAnsi="Arial" w:cs="Arial"/>
          <w:sz w:val="24"/>
          <w:szCs w:val="24"/>
          <w:lang w:eastAsia="es-ES"/>
        </w:rPr>
        <w:t xml:space="preserve"> vamos. La sensación de estar cabalgando en una transición permanente en donde cohabitan viejas normas y nuevos valores, viejas y nuevas estructuras, precisa superar el solipsismo de la mirada de corto plazo, del vivir el presente sin imaginar y sin ir construyendo el futuro. Los nuevos movimientos sociales aportan </w:t>
      </w:r>
      <w:r w:rsidRPr="004D4319">
        <w:rPr>
          <w:rFonts w:ascii="Arial" w:eastAsia="Times New Roman" w:hAnsi="Arial" w:cs="Arial"/>
          <w:sz w:val="24"/>
          <w:szCs w:val="24"/>
          <w:lang w:eastAsia="es-ES"/>
        </w:rPr>
        <w:lastRenderedPageBreak/>
        <w:t xml:space="preserve">esa mirada </w:t>
      </w:r>
      <w:r w:rsidR="00AB39A4" w:rsidRPr="004D4319">
        <w:rPr>
          <w:rFonts w:ascii="Arial" w:eastAsia="Times New Roman" w:hAnsi="Arial" w:cs="Arial"/>
          <w:sz w:val="24"/>
          <w:szCs w:val="24"/>
          <w:lang w:eastAsia="es-ES"/>
        </w:rPr>
        <w:t>hacia</w:t>
      </w:r>
      <w:r w:rsidRPr="004D4319">
        <w:rPr>
          <w:rFonts w:ascii="Arial" w:eastAsia="Times New Roman" w:hAnsi="Arial" w:cs="Arial"/>
          <w:sz w:val="24"/>
          <w:szCs w:val="24"/>
          <w:lang w:eastAsia="es-ES"/>
        </w:rPr>
        <w:t xml:space="preserve"> el futuro generando innovaciones en el presente, de reflexión y de práctica que debe permitir la autodeterminación del sujeto, el control sobre los procesos sociales, el dirigir y controlar nuestras propias vidas. La mirada </w:t>
      </w:r>
      <w:r w:rsidR="00A76049" w:rsidRPr="004D4319">
        <w:rPr>
          <w:rFonts w:ascii="Arial" w:eastAsia="Times New Roman" w:hAnsi="Arial" w:cs="Arial"/>
          <w:sz w:val="24"/>
          <w:szCs w:val="24"/>
          <w:lang w:eastAsia="es-ES"/>
        </w:rPr>
        <w:t>hacia</w:t>
      </w:r>
      <w:r w:rsidRPr="004D4319">
        <w:rPr>
          <w:rFonts w:ascii="Arial" w:eastAsia="Times New Roman" w:hAnsi="Arial" w:cs="Arial"/>
          <w:sz w:val="24"/>
          <w:szCs w:val="24"/>
          <w:lang w:eastAsia="es-ES"/>
        </w:rPr>
        <w:t xml:space="preserve"> el futuro nos permite reflexionar sobre los desafíos y los obstáculos que tenemos por delante. Este último apartado tiene como cometido desarrollar algunas </w:t>
      </w:r>
      <w:r w:rsidR="009141C0" w:rsidRPr="004D4319">
        <w:rPr>
          <w:rFonts w:ascii="Arial" w:eastAsia="Times New Roman" w:hAnsi="Arial" w:cs="Arial"/>
          <w:sz w:val="24"/>
          <w:szCs w:val="24"/>
          <w:lang w:eastAsia="es-ES"/>
        </w:rPr>
        <w:t>ideas al</w:t>
      </w:r>
      <w:r w:rsidRPr="004D4319">
        <w:rPr>
          <w:rFonts w:ascii="Arial" w:eastAsia="Times New Roman" w:hAnsi="Arial" w:cs="Arial"/>
          <w:sz w:val="24"/>
          <w:szCs w:val="24"/>
          <w:lang w:eastAsia="es-ES"/>
        </w:rPr>
        <w:t xml:space="preserve"> respecto: </w:t>
      </w:r>
      <w:r w:rsidR="00DD6877">
        <w:rPr>
          <w:rFonts w:ascii="Arial" w:eastAsia="Times New Roman" w:hAnsi="Arial" w:cs="Arial"/>
          <w:sz w:val="24"/>
          <w:szCs w:val="24"/>
          <w:lang w:eastAsia="es-ES"/>
        </w:rPr>
        <w:t>d</w:t>
      </w:r>
      <w:r w:rsidRPr="004D4319">
        <w:rPr>
          <w:rFonts w:ascii="Arial" w:eastAsia="Times New Roman" w:hAnsi="Arial" w:cs="Arial"/>
          <w:sz w:val="24"/>
          <w:szCs w:val="24"/>
          <w:lang w:eastAsia="es-ES"/>
        </w:rPr>
        <w:t>esde luego son muchos y muy complejos los retos que los movimientos sociales tienen por delante, si bien optamos por agruparlos en cuatro ideas, en cuatro erres: Repartir el poder (la democracia participativa); Redistribuir la economía y el trabajo; Respetar la naturaleza (las sostenibilidad ambiental) y Reconocer la interculturalidad.</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Los nuevos movimientos sociales conectan directamente con la idea de “democracia ambiental” y su consecución en un desafío central la acción colectiva. La implicación de los ciudadanos en la resolución de la crisis ambiental es crucial en la medida que la descentralización de los procesos, la comunicación entre los agentes sociales y la participación de los ciudadanos llevan a un devenir consciente sobre las responsabilidades de cada cual. El comercio justo y el consumo responsable, por ejemplo, no son posibles sin ese devenir consciente. La democracia ambiental se fundamenta, por tanto, en la participación directa de los productores y de la ciudadanía en la gestión de sus recursos ambientales (el patrimonio común es mundial) y su construcción es </w:t>
      </w:r>
      <w:proofErr w:type="spellStart"/>
      <w:r w:rsidRPr="004D4319">
        <w:rPr>
          <w:rFonts w:ascii="Arial" w:eastAsia="Times New Roman" w:hAnsi="Arial" w:cs="Arial"/>
          <w:sz w:val="24"/>
          <w:szCs w:val="24"/>
          <w:lang w:eastAsia="es-ES"/>
        </w:rPr>
        <w:t>ecosistémica</w:t>
      </w:r>
      <w:proofErr w:type="spellEnd"/>
      <w:r w:rsidRPr="004D4319">
        <w:rPr>
          <w:rFonts w:ascii="Arial" w:eastAsia="Times New Roman" w:hAnsi="Arial" w:cs="Arial"/>
          <w:sz w:val="24"/>
          <w:szCs w:val="24"/>
          <w:lang w:eastAsia="es-ES"/>
        </w:rPr>
        <w:t>, es decir, es por definición reticular. Estas iniciativas, en suma, al reconocerse en el medio social y el entorno físico, se colocan en una posición preferencial para afrontar actividades sociales y ambientales de “responsabilidad pública” y de defensa de los intereses generales de las comunidades locales. La aproximación entre la producción y el consumo ayudan a desarrollar dinámicas de eficiencia energética y de calidad de vida, sin comprometer la eficacia productiva.</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Hay quienes consideran que el hito fundacional de los movimientos de resistencia global se produce en el Primer Encuentro Intercontinental por la Humanidad y contra el Neoliberalismo convocado en el verano de 1996 por el Ejército Zapatista de Liberación Nacional (</w:t>
      </w:r>
      <w:proofErr w:type="spellStart"/>
      <w:r w:rsidRPr="004D4319">
        <w:rPr>
          <w:rFonts w:ascii="Arial" w:eastAsia="Times New Roman" w:hAnsi="Arial" w:cs="Arial"/>
          <w:sz w:val="24"/>
          <w:szCs w:val="24"/>
          <w:lang w:eastAsia="es-ES"/>
        </w:rPr>
        <w:t>Taibo</w:t>
      </w:r>
      <w:proofErr w:type="spellEnd"/>
      <w:r w:rsidRPr="004D4319">
        <w:rPr>
          <w:rFonts w:ascii="Arial" w:eastAsia="Times New Roman" w:hAnsi="Arial" w:cs="Arial"/>
          <w:sz w:val="24"/>
          <w:szCs w:val="24"/>
          <w:lang w:eastAsia="es-ES"/>
        </w:rPr>
        <w:t xml:space="preserve">, 2002). Entra en escena la perspectiva indigenista promocionando la convergencia de movimientos. Es quizás el indigenismo el más fiel exponente del regreso del sujeto, del sujeto que se basa más en los valores éticos que en los  técnicos. En palabras de </w:t>
      </w:r>
      <w:proofErr w:type="spellStart"/>
      <w:r w:rsidRPr="004D4319">
        <w:rPr>
          <w:rFonts w:ascii="Arial" w:eastAsia="Times New Roman" w:hAnsi="Arial" w:cs="Arial"/>
          <w:sz w:val="24"/>
          <w:szCs w:val="24"/>
          <w:lang w:eastAsia="es-ES"/>
        </w:rPr>
        <w:t>Touraine</w:t>
      </w:r>
      <w:proofErr w:type="spellEnd"/>
      <w:r w:rsidRPr="004D4319">
        <w:rPr>
          <w:rFonts w:ascii="Arial" w:eastAsia="Times New Roman" w:hAnsi="Arial" w:cs="Arial"/>
          <w:sz w:val="24"/>
          <w:szCs w:val="24"/>
          <w:lang w:eastAsia="es-ES"/>
        </w:rPr>
        <w:t xml:space="preserve"> “no busca ni el beneficio, ni el poder, ni la gloria, sino que afirma la dignidad y el respeto que cada ser humano merece” (</w:t>
      </w:r>
      <w:proofErr w:type="spellStart"/>
      <w:r w:rsidRPr="004D4319">
        <w:rPr>
          <w:rFonts w:ascii="Arial" w:eastAsia="Times New Roman" w:hAnsi="Arial" w:cs="Arial"/>
          <w:sz w:val="24"/>
          <w:szCs w:val="24"/>
          <w:lang w:eastAsia="es-ES"/>
        </w:rPr>
        <w:t>Touraine</w:t>
      </w:r>
      <w:proofErr w:type="spellEnd"/>
      <w:r w:rsidRPr="004D4319">
        <w:rPr>
          <w:rFonts w:ascii="Arial" w:eastAsia="Times New Roman" w:hAnsi="Arial" w:cs="Arial"/>
          <w:sz w:val="24"/>
          <w:szCs w:val="24"/>
          <w:lang w:eastAsia="es-ES"/>
        </w:rPr>
        <w:t xml:space="preserve">, 2005: 112). Desde la demanda de los derechos culturales se recrea la conciencia de la complementación de las culturas y se alerta de los exclusivismos endogámicos. La perspectiva indigenista (de los derechos culturales), permite, así construir la articulación desde la satisfacción de las necesidades territoriales y culturales, es decir de abajo a arriba, de la periferia al centro y del Sur al Norte, rompiendo los vicios </w:t>
      </w:r>
      <w:proofErr w:type="spellStart"/>
      <w:r w:rsidRPr="004D4319">
        <w:rPr>
          <w:rFonts w:ascii="Arial" w:eastAsia="Times New Roman" w:hAnsi="Arial" w:cs="Arial"/>
          <w:sz w:val="24"/>
          <w:szCs w:val="24"/>
          <w:lang w:eastAsia="es-ES"/>
        </w:rPr>
        <w:t>etnocéntricos</w:t>
      </w:r>
      <w:proofErr w:type="spellEnd"/>
      <w:r w:rsidRPr="004D4319">
        <w:rPr>
          <w:rFonts w:ascii="Arial" w:eastAsia="Times New Roman" w:hAnsi="Arial" w:cs="Arial"/>
          <w:sz w:val="24"/>
          <w:szCs w:val="24"/>
          <w:lang w:eastAsia="es-ES"/>
        </w:rPr>
        <w:t xml:space="preserve"> e incorporando una transversalidad que evite el peligro expresado por Albert Recio: “el peligro estriba en que el movimiento cristalice en una acción volcada hacia el entorno exterior, estructurada a partir de acciones globales que resultan epidérmicas para los que no participan en ellas y alejada de las cuestiones de la vida local”. </w:t>
      </w:r>
    </w:p>
    <w:p w:rsidR="00EE48C9" w:rsidRPr="004D4319" w:rsidRDefault="00EE48C9" w:rsidP="004D4319">
      <w:pPr>
        <w:spacing w:before="100" w:beforeAutospacing="1" w:after="100" w:afterAutospacing="1"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lastRenderedPageBreak/>
        <w:t>Ahora bien, los impactos del proceso globalizador han generado enfrentamientos entre culturas y repliegue y auto-cierre defensivo  de las culturas más periféricas sobre las que se han despertado sentimientos de amenaza y actitudes endogámicas. El intercambio desigual, el fenómeno migratorio, el etnocentrismo occidental que provoca el refuerzo del etnocentrismo en las culturas agraviadas y la consolidación de los procesos de exclusión social representan graves problemas para el desarrollo del sujeto ético y supone la puesta en escena del anti-sujeto que utiliza la violencia y la crueldad (</w:t>
      </w:r>
      <w:proofErr w:type="spellStart"/>
      <w:r w:rsidRPr="004D4319">
        <w:rPr>
          <w:rFonts w:ascii="Arial" w:eastAsia="Times New Roman" w:hAnsi="Arial" w:cs="Arial"/>
          <w:sz w:val="24"/>
          <w:szCs w:val="24"/>
          <w:lang w:eastAsia="es-ES"/>
        </w:rPr>
        <w:t>Touraine</w:t>
      </w:r>
      <w:proofErr w:type="spellEnd"/>
      <w:r w:rsidRPr="004D4319">
        <w:rPr>
          <w:rFonts w:ascii="Arial" w:eastAsia="Times New Roman" w:hAnsi="Arial" w:cs="Arial"/>
          <w:sz w:val="24"/>
          <w:szCs w:val="24"/>
          <w:lang w:eastAsia="es-ES"/>
        </w:rPr>
        <w:t xml:space="preserve">, 2005: 172) como respuesta </w:t>
      </w:r>
      <w:proofErr w:type="spellStart"/>
      <w:r w:rsidRPr="004D4319">
        <w:rPr>
          <w:rFonts w:ascii="Arial" w:eastAsia="Times New Roman" w:hAnsi="Arial" w:cs="Arial"/>
          <w:sz w:val="24"/>
          <w:szCs w:val="24"/>
          <w:lang w:eastAsia="es-ES"/>
        </w:rPr>
        <w:t>identitaria</w:t>
      </w:r>
      <w:proofErr w:type="spellEnd"/>
      <w:r w:rsidRPr="004D4319">
        <w:rPr>
          <w:rFonts w:ascii="Arial" w:eastAsia="Times New Roman" w:hAnsi="Arial" w:cs="Arial"/>
          <w:sz w:val="24"/>
          <w:szCs w:val="24"/>
          <w:lang w:eastAsia="es-ES"/>
        </w:rPr>
        <w:t xml:space="preserve"> particularista.</w:t>
      </w:r>
    </w:p>
    <w:p w:rsidR="00EE48C9" w:rsidRPr="004D4319" w:rsidRDefault="00EE48C9" w:rsidP="00914D4D">
      <w:pPr>
        <w:spacing w:after="0" w:line="240" w:lineRule="auto"/>
        <w:jc w:val="both"/>
        <w:outlineLvl w:val="1"/>
        <w:rPr>
          <w:rFonts w:ascii="Arial" w:eastAsia="Times New Roman" w:hAnsi="Arial" w:cs="Arial"/>
          <w:b/>
          <w:bCs/>
          <w:sz w:val="24"/>
          <w:szCs w:val="24"/>
          <w:lang w:eastAsia="es-ES"/>
        </w:rPr>
      </w:pPr>
      <w:r w:rsidRPr="004D4319">
        <w:rPr>
          <w:rFonts w:ascii="Arial" w:eastAsia="Times New Roman" w:hAnsi="Arial" w:cs="Arial"/>
          <w:b/>
          <w:bCs/>
          <w:sz w:val="24"/>
          <w:szCs w:val="24"/>
          <w:lang w:eastAsia="es-ES"/>
        </w:rPr>
        <w:t>Bibliografía</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Los DOI se añaden automáticamente a las referencias por </w:t>
      </w:r>
      <w:proofErr w:type="spellStart"/>
      <w:r w:rsidRPr="004D4319">
        <w:rPr>
          <w:rFonts w:ascii="Arial" w:eastAsia="Times New Roman" w:hAnsi="Arial" w:cs="Arial"/>
          <w:sz w:val="24"/>
          <w:szCs w:val="24"/>
          <w:lang w:eastAsia="es-ES"/>
        </w:rPr>
        <w:t>Bilbo</w:t>
      </w:r>
      <w:proofErr w:type="spellEnd"/>
      <w:r w:rsidRPr="004D4319">
        <w:rPr>
          <w:rFonts w:ascii="Arial" w:eastAsia="Times New Roman" w:hAnsi="Arial" w:cs="Arial"/>
          <w:sz w:val="24"/>
          <w:szCs w:val="24"/>
          <w:lang w:eastAsia="es-ES"/>
        </w:rPr>
        <w:t xml:space="preserve">, la herramienta de anotación bibliográfica. Los </w:t>
      </w:r>
      <w:proofErr w:type="spellStart"/>
      <w:r w:rsidRPr="004D4319">
        <w:rPr>
          <w:rFonts w:ascii="Arial" w:eastAsia="Times New Roman" w:hAnsi="Arial" w:cs="Arial"/>
          <w:sz w:val="24"/>
          <w:szCs w:val="24"/>
          <w:lang w:eastAsia="es-ES"/>
        </w:rPr>
        <w:t>usarios</w:t>
      </w:r>
      <w:proofErr w:type="spellEnd"/>
      <w:r w:rsidRPr="004D4319">
        <w:rPr>
          <w:rFonts w:ascii="Arial" w:eastAsia="Times New Roman" w:hAnsi="Arial" w:cs="Arial"/>
          <w:sz w:val="24"/>
          <w:szCs w:val="24"/>
          <w:lang w:eastAsia="es-ES"/>
        </w:rPr>
        <w:t xml:space="preserve"> de aquellas instituciones quien </w:t>
      </w:r>
      <w:proofErr w:type="spellStart"/>
      <w:r w:rsidRPr="004D4319">
        <w:rPr>
          <w:rFonts w:ascii="Arial" w:eastAsia="Times New Roman" w:hAnsi="Arial" w:cs="Arial"/>
          <w:sz w:val="24"/>
          <w:szCs w:val="24"/>
          <w:lang w:eastAsia="es-ES"/>
        </w:rPr>
        <w:t>susbriben</w:t>
      </w:r>
      <w:proofErr w:type="spellEnd"/>
      <w:r w:rsidRPr="004D4319">
        <w:rPr>
          <w:rFonts w:ascii="Arial" w:eastAsia="Times New Roman" w:hAnsi="Arial" w:cs="Arial"/>
          <w:sz w:val="24"/>
          <w:szCs w:val="24"/>
          <w:lang w:eastAsia="es-ES"/>
        </w:rPr>
        <w:t xml:space="preserve"> a unos de nuestros </w:t>
      </w:r>
      <w:proofErr w:type="spellStart"/>
      <w:r w:rsidRPr="004D4319">
        <w:rPr>
          <w:rFonts w:ascii="Arial" w:eastAsia="Times New Roman" w:hAnsi="Arial" w:cs="Arial"/>
          <w:sz w:val="24"/>
          <w:szCs w:val="24"/>
          <w:lang w:eastAsia="es-ES"/>
        </w:rPr>
        <w:t>pragramas</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OpenEdition</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Freemium</w:t>
      </w:r>
      <w:proofErr w:type="spellEnd"/>
      <w:r w:rsidRPr="004D4319">
        <w:rPr>
          <w:rFonts w:ascii="Arial" w:eastAsia="Times New Roman" w:hAnsi="Arial" w:cs="Arial"/>
          <w:sz w:val="24"/>
          <w:szCs w:val="24"/>
          <w:lang w:eastAsia="es-ES"/>
        </w:rPr>
        <w:t xml:space="preserve"> </w:t>
      </w:r>
      <w:proofErr w:type="gramStart"/>
      <w:r w:rsidRPr="004D4319">
        <w:rPr>
          <w:rFonts w:ascii="Arial" w:eastAsia="Times New Roman" w:hAnsi="Arial" w:cs="Arial"/>
          <w:sz w:val="24"/>
          <w:szCs w:val="24"/>
          <w:lang w:eastAsia="es-ES"/>
        </w:rPr>
        <w:t>pueden</w:t>
      </w:r>
      <w:proofErr w:type="gramEnd"/>
      <w:r w:rsidRPr="004D4319">
        <w:rPr>
          <w:rFonts w:ascii="Arial" w:eastAsia="Times New Roman" w:hAnsi="Arial" w:cs="Arial"/>
          <w:sz w:val="24"/>
          <w:szCs w:val="24"/>
          <w:lang w:eastAsia="es-ES"/>
        </w:rPr>
        <w:t xml:space="preserve"> descargar las referencias bibliográficas para los cuales </w:t>
      </w:r>
      <w:proofErr w:type="spellStart"/>
      <w:r w:rsidRPr="004D4319">
        <w:rPr>
          <w:rFonts w:ascii="Arial" w:eastAsia="Times New Roman" w:hAnsi="Arial" w:cs="Arial"/>
          <w:sz w:val="24"/>
          <w:szCs w:val="24"/>
          <w:lang w:eastAsia="es-ES"/>
        </w:rPr>
        <w:t>Bilbo</w:t>
      </w:r>
      <w:proofErr w:type="spellEnd"/>
      <w:r w:rsidRPr="004D4319">
        <w:rPr>
          <w:rFonts w:ascii="Arial" w:eastAsia="Times New Roman" w:hAnsi="Arial" w:cs="Arial"/>
          <w:sz w:val="24"/>
          <w:szCs w:val="24"/>
          <w:lang w:eastAsia="es-ES"/>
        </w:rPr>
        <w:t xml:space="preserve"> encontró un DOI.</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Alguacil, J. (2000a), Calidad de vida y praxis urbana: nuevas iniciativas de gestión ciudadana en la periferia social de Madrid, CIS/Siglo XXI,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w:t>
      </w:r>
      <w:proofErr w:type="spellStart"/>
      <w:r w:rsidRPr="004D4319">
        <w:rPr>
          <w:rFonts w:ascii="Arial" w:eastAsia="Times New Roman" w:hAnsi="Arial" w:cs="Arial"/>
          <w:sz w:val="24"/>
          <w:szCs w:val="24"/>
          <w:lang w:eastAsia="es-ES"/>
        </w:rPr>
        <w:t>Idem</w:t>
      </w:r>
      <w:proofErr w:type="spellEnd"/>
      <w:r w:rsidRPr="004D4319">
        <w:rPr>
          <w:rFonts w:ascii="Arial" w:eastAsia="Times New Roman" w:hAnsi="Arial" w:cs="Arial"/>
          <w:sz w:val="24"/>
          <w:szCs w:val="24"/>
          <w:lang w:eastAsia="es-ES"/>
        </w:rPr>
        <w:t xml:space="preserve"> (2000b), “La recomposición de los movimientos sociales desde la articulación del Tercer Sector” en Viento Sur Nº 49, Madrid.</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Arrighi</w:t>
      </w:r>
      <w:proofErr w:type="spellEnd"/>
      <w:r w:rsidRPr="004D4319">
        <w:rPr>
          <w:rFonts w:ascii="Arial" w:eastAsia="Times New Roman" w:hAnsi="Arial" w:cs="Arial"/>
          <w:sz w:val="24"/>
          <w:szCs w:val="24"/>
          <w:lang w:eastAsia="es-ES"/>
        </w:rPr>
        <w:t xml:space="preserve">, G.; </w:t>
      </w:r>
      <w:proofErr w:type="spellStart"/>
      <w:r w:rsidRPr="004D4319">
        <w:rPr>
          <w:rFonts w:ascii="Arial" w:eastAsia="Times New Roman" w:hAnsi="Arial" w:cs="Arial"/>
          <w:sz w:val="24"/>
          <w:szCs w:val="24"/>
          <w:lang w:eastAsia="es-ES"/>
        </w:rPr>
        <w:t>Hoopkins</w:t>
      </w:r>
      <w:proofErr w:type="spellEnd"/>
      <w:r w:rsidRPr="004D4319">
        <w:rPr>
          <w:rFonts w:ascii="Arial" w:eastAsia="Times New Roman" w:hAnsi="Arial" w:cs="Arial"/>
          <w:sz w:val="24"/>
          <w:szCs w:val="24"/>
          <w:lang w:eastAsia="es-ES"/>
        </w:rPr>
        <w:t xml:space="preserve">, T. K.; </w:t>
      </w:r>
      <w:proofErr w:type="spellStart"/>
      <w:r w:rsidRPr="004D4319">
        <w:rPr>
          <w:rFonts w:ascii="Arial" w:eastAsia="Times New Roman" w:hAnsi="Arial" w:cs="Arial"/>
          <w:sz w:val="24"/>
          <w:szCs w:val="24"/>
          <w:lang w:eastAsia="es-ES"/>
        </w:rPr>
        <w:t>Wallerstein</w:t>
      </w:r>
      <w:proofErr w:type="spellEnd"/>
      <w:r w:rsidRPr="004D4319">
        <w:rPr>
          <w:rFonts w:ascii="Arial" w:eastAsia="Times New Roman" w:hAnsi="Arial" w:cs="Arial"/>
          <w:sz w:val="24"/>
          <w:szCs w:val="24"/>
          <w:lang w:eastAsia="es-ES"/>
        </w:rPr>
        <w:t xml:space="preserve">, I. (1999), Movimientos </w:t>
      </w:r>
      <w:proofErr w:type="spellStart"/>
      <w:r w:rsidRPr="004D4319">
        <w:rPr>
          <w:rFonts w:ascii="Arial" w:eastAsia="Times New Roman" w:hAnsi="Arial" w:cs="Arial"/>
          <w:sz w:val="24"/>
          <w:szCs w:val="24"/>
          <w:lang w:eastAsia="es-ES"/>
        </w:rPr>
        <w:t>Antisistémicos</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Akal</w:t>
      </w:r>
      <w:proofErr w:type="spellEnd"/>
      <w:r w:rsidRPr="004D4319">
        <w:rPr>
          <w:rFonts w:ascii="Arial" w:eastAsia="Times New Roman" w:hAnsi="Arial" w:cs="Arial"/>
          <w:sz w:val="24"/>
          <w:szCs w:val="24"/>
          <w:lang w:eastAsia="es-ES"/>
        </w:rPr>
        <w:t>, Madrid.</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Bresser</w:t>
      </w:r>
      <w:proofErr w:type="spellEnd"/>
      <w:r w:rsidRPr="004D4319">
        <w:rPr>
          <w:rFonts w:ascii="Arial" w:eastAsia="Times New Roman" w:hAnsi="Arial" w:cs="Arial"/>
          <w:sz w:val="24"/>
          <w:szCs w:val="24"/>
          <w:lang w:eastAsia="es-ES"/>
        </w:rPr>
        <w:t xml:space="preserve">-Pereira, L. C. (2001), “Ciudadanía y res publica: La aparición de los derechos republicanos” en Revista Instituciones y Desarrollo N° 8/9. </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Carvalho, I. C. de </w:t>
      </w:r>
      <w:proofErr w:type="spellStart"/>
      <w:r w:rsidRPr="004D4319">
        <w:rPr>
          <w:rFonts w:ascii="Arial" w:eastAsia="Times New Roman" w:hAnsi="Arial" w:cs="Arial"/>
          <w:sz w:val="24"/>
          <w:szCs w:val="24"/>
          <w:lang w:eastAsia="es-ES"/>
        </w:rPr>
        <w:t>Moura</w:t>
      </w:r>
      <w:proofErr w:type="spellEnd"/>
      <w:r w:rsidRPr="004D4319">
        <w:rPr>
          <w:rFonts w:ascii="Arial" w:eastAsia="Times New Roman" w:hAnsi="Arial" w:cs="Arial"/>
          <w:sz w:val="24"/>
          <w:szCs w:val="24"/>
          <w:lang w:eastAsia="es-ES"/>
        </w:rPr>
        <w:t xml:space="preserve"> (2002), “La Línea de Dignidad: Un marco para una sociedad sustentable” en  Programa Cono Sur Sustentable, Línea de Dignidad. Desafíos Sociales para la Sustentabilidad, Fundación Heinrich </w:t>
      </w:r>
      <w:proofErr w:type="spellStart"/>
      <w:r w:rsidRPr="004D4319">
        <w:rPr>
          <w:rFonts w:ascii="Arial" w:eastAsia="Times New Roman" w:hAnsi="Arial" w:cs="Arial"/>
          <w:sz w:val="24"/>
          <w:szCs w:val="24"/>
          <w:lang w:eastAsia="es-ES"/>
        </w:rPr>
        <w:t>Böll</w:t>
      </w:r>
      <w:proofErr w:type="spellEnd"/>
      <w:r w:rsidRPr="004D4319">
        <w:rPr>
          <w:rFonts w:ascii="Arial" w:eastAsia="Times New Roman" w:hAnsi="Arial" w:cs="Arial"/>
          <w:sz w:val="24"/>
          <w:szCs w:val="24"/>
          <w:lang w:eastAsia="es-ES"/>
        </w:rPr>
        <w:t>, Santiago.</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Chesnais</w:t>
      </w:r>
      <w:proofErr w:type="spellEnd"/>
      <w:r w:rsidRPr="004D4319">
        <w:rPr>
          <w:rFonts w:ascii="Arial" w:eastAsia="Times New Roman" w:hAnsi="Arial" w:cs="Arial"/>
          <w:sz w:val="24"/>
          <w:szCs w:val="24"/>
          <w:lang w:eastAsia="es-ES"/>
        </w:rPr>
        <w:t xml:space="preserve">, F., </w:t>
      </w:r>
      <w:proofErr w:type="spellStart"/>
      <w:r w:rsidRPr="004D4319">
        <w:rPr>
          <w:rFonts w:ascii="Arial" w:eastAsia="Times New Roman" w:hAnsi="Arial" w:cs="Arial"/>
          <w:sz w:val="24"/>
          <w:szCs w:val="24"/>
          <w:lang w:eastAsia="es-ES"/>
        </w:rPr>
        <w:t>Serfati</w:t>
      </w:r>
      <w:proofErr w:type="spellEnd"/>
      <w:r w:rsidRPr="004D4319">
        <w:rPr>
          <w:rFonts w:ascii="Arial" w:eastAsia="Times New Roman" w:hAnsi="Arial" w:cs="Arial"/>
          <w:sz w:val="24"/>
          <w:szCs w:val="24"/>
          <w:lang w:eastAsia="es-ES"/>
        </w:rPr>
        <w:t xml:space="preserve">, C.; </w:t>
      </w:r>
      <w:proofErr w:type="spellStart"/>
      <w:r w:rsidRPr="004D4319">
        <w:rPr>
          <w:rFonts w:ascii="Arial" w:eastAsia="Times New Roman" w:hAnsi="Arial" w:cs="Arial"/>
          <w:sz w:val="24"/>
          <w:szCs w:val="24"/>
          <w:lang w:eastAsia="es-ES"/>
        </w:rPr>
        <w:t>Udry</w:t>
      </w:r>
      <w:proofErr w:type="spellEnd"/>
      <w:r w:rsidRPr="004D4319">
        <w:rPr>
          <w:rFonts w:ascii="Arial" w:eastAsia="Times New Roman" w:hAnsi="Arial" w:cs="Arial"/>
          <w:sz w:val="24"/>
          <w:szCs w:val="24"/>
          <w:lang w:eastAsia="es-ES"/>
        </w:rPr>
        <w:t xml:space="preserve">; C-A. (2005), “O futuro do </w:t>
      </w:r>
      <w:proofErr w:type="spellStart"/>
      <w:r w:rsidRPr="004D4319">
        <w:rPr>
          <w:rFonts w:ascii="Arial" w:eastAsia="Times New Roman" w:hAnsi="Arial" w:cs="Arial"/>
          <w:sz w:val="24"/>
          <w:szCs w:val="24"/>
          <w:lang w:eastAsia="es-ES"/>
        </w:rPr>
        <w:t>movimento</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antimundializaçao</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Primeiras</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reflexôes</w:t>
      </w:r>
      <w:proofErr w:type="spellEnd"/>
      <w:r w:rsidRPr="004D4319">
        <w:rPr>
          <w:rFonts w:ascii="Arial" w:eastAsia="Times New Roman" w:hAnsi="Arial" w:cs="Arial"/>
          <w:sz w:val="24"/>
          <w:szCs w:val="24"/>
          <w:lang w:eastAsia="es-ES"/>
        </w:rPr>
        <w:t xml:space="preserve"> para </w:t>
      </w:r>
      <w:proofErr w:type="spellStart"/>
      <w:r w:rsidRPr="004D4319">
        <w:rPr>
          <w:rFonts w:ascii="Arial" w:eastAsia="Times New Roman" w:hAnsi="Arial" w:cs="Arial"/>
          <w:sz w:val="24"/>
          <w:szCs w:val="24"/>
          <w:lang w:eastAsia="es-ES"/>
        </w:rPr>
        <w:t>uma</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consolidaçâo</w:t>
      </w:r>
      <w:proofErr w:type="spellEnd"/>
      <w:r w:rsidRPr="004D4319">
        <w:rPr>
          <w:rFonts w:ascii="Arial" w:eastAsia="Times New Roman" w:hAnsi="Arial" w:cs="Arial"/>
          <w:sz w:val="24"/>
          <w:szCs w:val="24"/>
          <w:lang w:eastAsia="es-ES"/>
        </w:rPr>
        <w:t xml:space="preserve"> de </w:t>
      </w:r>
      <w:proofErr w:type="spellStart"/>
      <w:r w:rsidRPr="004D4319">
        <w:rPr>
          <w:rFonts w:ascii="Arial" w:eastAsia="Times New Roman" w:hAnsi="Arial" w:cs="Arial"/>
          <w:sz w:val="24"/>
          <w:szCs w:val="24"/>
          <w:lang w:eastAsia="es-ES"/>
        </w:rPr>
        <w:t>seus</w:t>
      </w:r>
      <w:proofErr w:type="spellEnd"/>
      <w:r w:rsidRPr="004D4319">
        <w:rPr>
          <w:rFonts w:ascii="Arial" w:eastAsia="Times New Roman" w:hAnsi="Arial" w:cs="Arial"/>
          <w:sz w:val="24"/>
          <w:szCs w:val="24"/>
          <w:lang w:eastAsia="es-ES"/>
        </w:rPr>
        <w:t xml:space="preserve"> fundamentos </w:t>
      </w:r>
      <w:proofErr w:type="spellStart"/>
      <w:r w:rsidRPr="004D4319">
        <w:rPr>
          <w:rFonts w:ascii="Arial" w:eastAsia="Times New Roman" w:hAnsi="Arial" w:cs="Arial"/>
          <w:sz w:val="24"/>
          <w:szCs w:val="24"/>
          <w:lang w:eastAsia="es-ES"/>
        </w:rPr>
        <w:t>teoricos</w:t>
      </w:r>
      <w:proofErr w:type="spellEnd"/>
      <w:r w:rsidRPr="004D4319">
        <w:rPr>
          <w:rFonts w:ascii="Arial" w:eastAsia="Times New Roman" w:hAnsi="Arial" w:cs="Arial"/>
          <w:sz w:val="24"/>
          <w:szCs w:val="24"/>
          <w:lang w:eastAsia="es-ES"/>
        </w:rPr>
        <w:t xml:space="preserve">” en </w:t>
      </w:r>
      <w:proofErr w:type="spellStart"/>
      <w:r w:rsidRPr="004D4319">
        <w:rPr>
          <w:rFonts w:ascii="Arial" w:eastAsia="Times New Roman" w:hAnsi="Arial" w:cs="Arial"/>
          <w:sz w:val="24"/>
          <w:szCs w:val="24"/>
          <w:lang w:eastAsia="es-ES"/>
        </w:rPr>
        <w:t>Leher</w:t>
      </w:r>
      <w:proofErr w:type="spellEnd"/>
      <w:r w:rsidRPr="004D4319">
        <w:rPr>
          <w:rFonts w:ascii="Arial" w:eastAsia="Times New Roman" w:hAnsi="Arial" w:cs="Arial"/>
          <w:sz w:val="24"/>
          <w:szCs w:val="24"/>
          <w:lang w:eastAsia="es-ES"/>
        </w:rPr>
        <w:t xml:space="preserve">, R.; Setúbal, M. (organizadores), </w:t>
      </w:r>
      <w:proofErr w:type="spellStart"/>
      <w:r w:rsidRPr="004D4319">
        <w:rPr>
          <w:rFonts w:ascii="Arial" w:eastAsia="Times New Roman" w:hAnsi="Arial" w:cs="Arial"/>
          <w:sz w:val="24"/>
          <w:szCs w:val="24"/>
          <w:lang w:eastAsia="es-ES"/>
        </w:rPr>
        <w:t>Pensamento</w:t>
      </w:r>
      <w:proofErr w:type="spellEnd"/>
      <w:r w:rsidRPr="004D4319">
        <w:rPr>
          <w:rFonts w:ascii="Arial" w:eastAsia="Times New Roman" w:hAnsi="Arial" w:cs="Arial"/>
          <w:sz w:val="24"/>
          <w:szCs w:val="24"/>
          <w:lang w:eastAsia="es-ES"/>
        </w:rPr>
        <w:t xml:space="preserve"> crítico e movimientos </w:t>
      </w:r>
      <w:proofErr w:type="spellStart"/>
      <w:r w:rsidRPr="004D4319">
        <w:rPr>
          <w:rFonts w:ascii="Arial" w:eastAsia="Times New Roman" w:hAnsi="Arial" w:cs="Arial"/>
          <w:sz w:val="24"/>
          <w:szCs w:val="24"/>
          <w:lang w:eastAsia="es-ES"/>
        </w:rPr>
        <w:t>sociais</w:t>
      </w:r>
      <w:proofErr w:type="spellEnd"/>
      <w:r w:rsidRPr="004D4319">
        <w:rPr>
          <w:rFonts w:ascii="Arial" w:eastAsia="Times New Roman" w:hAnsi="Arial" w:cs="Arial"/>
          <w:sz w:val="24"/>
          <w:szCs w:val="24"/>
          <w:lang w:eastAsia="es-ES"/>
        </w:rPr>
        <w:t xml:space="preserve">, Cortez editora, São Paulo. </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Coraggio</w:t>
      </w:r>
      <w:proofErr w:type="spellEnd"/>
      <w:r w:rsidRPr="004D4319">
        <w:rPr>
          <w:rFonts w:ascii="Arial" w:eastAsia="Times New Roman" w:hAnsi="Arial" w:cs="Arial"/>
          <w:sz w:val="24"/>
          <w:szCs w:val="24"/>
          <w:lang w:eastAsia="es-ES"/>
        </w:rPr>
        <w:t xml:space="preserve">, J. L. (1999), “La economía popular es más que la suma de </w:t>
      </w:r>
      <w:proofErr w:type="spellStart"/>
      <w:r w:rsidRPr="004D4319">
        <w:rPr>
          <w:rFonts w:ascii="Arial" w:eastAsia="Times New Roman" w:hAnsi="Arial" w:cs="Arial"/>
          <w:sz w:val="24"/>
          <w:szCs w:val="24"/>
          <w:lang w:eastAsia="es-ES"/>
        </w:rPr>
        <w:t>microproyectos</w:t>
      </w:r>
      <w:proofErr w:type="spellEnd"/>
      <w:r w:rsidRPr="004D4319">
        <w:rPr>
          <w:rFonts w:ascii="Arial" w:eastAsia="Times New Roman" w:hAnsi="Arial" w:cs="Arial"/>
          <w:sz w:val="24"/>
          <w:szCs w:val="24"/>
          <w:lang w:eastAsia="es-ES"/>
        </w:rPr>
        <w:t xml:space="preserve"> (alternativas para el desarrollo humano globalizado)” en Política y Sociedad Nº 31, UCM,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Cortina, A. (1993), Ética aplicada y democracia radical, </w:t>
      </w:r>
      <w:proofErr w:type="spellStart"/>
      <w:r w:rsidRPr="004D4319">
        <w:rPr>
          <w:rFonts w:ascii="Arial" w:eastAsia="Times New Roman" w:hAnsi="Arial" w:cs="Arial"/>
          <w:sz w:val="24"/>
          <w:szCs w:val="24"/>
          <w:lang w:eastAsia="es-ES"/>
        </w:rPr>
        <w:t>Tecnos</w:t>
      </w:r>
      <w:proofErr w:type="spellEnd"/>
      <w:r w:rsidRPr="004D4319">
        <w:rPr>
          <w:rFonts w:ascii="Arial" w:eastAsia="Times New Roman" w:hAnsi="Arial" w:cs="Arial"/>
          <w:sz w:val="24"/>
          <w:szCs w:val="24"/>
          <w:lang w:eastAsia="es-ES"/>
        </w:rPr>
        <w:t>, Madrid.</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Daly</w:t>
      </w:r>
      <w:proofErr w:type="spellEnd"/>
      <w:r w:rsidRPr="004D4319">
        <w:rPr>
          <w:rFonts w:ascii="Arial" w:eastAsia="Times New Roman" w:hAnsi="Arial" w:cs="Arial"/>
          <w:sz w:val="24"/>
          <w:szCs w:val="24"/>
          <w:lang w:eastAsia="es-ES"/>
        </w:rPr>
        <w:t>, H. E. (1989), Economía, ecología y ética. Ensayos hacia una economía en estado estacionario, FCE, México.</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Doyal</w:t>
      </w:r>
      <w:proofErr w:type="spellEnd"/>
      <w:r w:rsidRPr="004D4319">
        <w:rPr>
          <w:rFonts w:ascii="Arial" w:eastAsia="Times New Roman" w:hAnsi="Arial" w:cs="Arial"/>
          <w:sz w:val="24"/>
          <w:szCs w:val="24"/>
          <w:lang w:eastAsia="es-ES"/>
        </w:rPr>
        <w:t xml:space="preserve">, L. y </w:t>
      </w:r>
      <w:proofErr w:type="spellStart"/>
      <w:r w:rsidRPr="004D4319">
        <w:rPr>
          <w:rFonts w:ascii="Arial" w:eastAsia="Times New Roman" w:hAnsi="Arial" w:cs="Arial"/>
          <w:sz w:val="24"/>
          <w:szCs w:val="24"/>
          <w:lang w:eastAsia="es-ES"/>
        </w:rPr>
        <w:t>Gough</w:t>
      </w:r>
      <w:proofErr w:type="spellEnd"/>
      <w:r w:rsidRPr="004D4319">
        <w:rPr>
          <w:rFonts w:ascii="Arial" w:eastAsia="Times New Roman" w:hAnsi="Arial" w:cs="Arial"/>
          <w:sz w:val="24"/>
          <w:szCs w:val="24"/>
          <w:lang w:eastAsia="es-ES"/>
        </w:rPr>
        <w:t xml:space="preserve">, I. (1994), Teoría de las necesidades humanas, Icaria/FUHEM, Madrid. </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Durning</w:t>
      </w:r>
      <w:proofErr w:type="spellEnd"/>
      <w:r w:rsidRPr="004D4319">
        <w:rPr>
          <w:rFonts w:ascii="Arial" w:eastAsia="Times New Roman" w:hAnsi="Arial" w:cs="Arial"/>
          <w:sz w:val="24"/>
          <w:szCs w:val="24"/>
          <w:lang w:eastAsia="es-ES"/>
        </w:rPr>
        <w:t>, A. (1991), “¿Cuánto es suficiente?” en Lester R. Brown et al., La situación en el mundo 1991, pp. 243-268, CIP/Horizonte,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Elizalde, A. (2002), “Satisfacción de necesidades humanas para una vida digna: Línea de Dignidad y necesidades humanas fundamentales” en  Programa Cono Sur Sustentable, Línea de Dignidad. Desafíos Sociales para la Sustentabilidad, Fundación Heinrich </w:t>
      </w:r>
      <w:proofErr w:type="spellStart"/>
      <w:r w:rsidRPr="004D4319">
        <w:rPr>
          <w:rFonts w:ascii="Arial" w:eastAsia="Times New Roman" w:hAnsi="Arial" w:cs="Arial"/>
          <w:sz w:val="24"/>
          <w:szCs w:val="24"/>
          <w:lang w:eastAsia="es-ES"/>
        </w:rPr>
        <w:t>Böll</w:t>
      </w:r>
      <w:proofErr w:type="spellEnd"/>
      <w:r w:rsidRPr="004D4319">
        <w:rPr>
          <w:rFonts w:ascii="Arial" w:eastAsia="Times New Roman" w:hAnsi="Arial" w:cs="Arial"/>
          <w:sz w:val="24"/>
          <w:szCs w:val="24"/>
          <w:lang w:eastAsia="es-ES"/>
        </w:rPr>
        <w:t>, Santiago</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Fernández Buey, F. (1998), “Programas sindicales, intereses obreros y reivindicaciones ecologistas en la lucha por un mundo habitable” en Fernández </w:t>
      </w:r>
      <w:r w:rsidRPr="004D4319">
        <w:rPr>
          <w:rFonts w:ascii="Arial" w:eastAsia="Times New Roman" w:hAnsi="Arial" w:cs="Arial"/>
          <w:sz w:val="24"/>
          <w:szCs w:val="24"/>
          <w:lang w:eastAsia="es-ES"/>
        </w:rPr>
        <w:lastRenderedPageBreak/>
        <w:t xml:space="preserve">Buey y </w:t>
      </w:r>
      <w:proofErr w:type="spellStart"/>
      <w:r w:rsidRPr="004D4319">
        <w:rPr>
          <w:rFonts w:ascii="Arial" w:eastAsia="Times New Roman" w:hAnsi="Arial" w:cs="Arial"/>
          <w:sz w:val="24"/>
          <w:szCs w:val="24"/>
          <w:lang w:eastAsia="es-ES"/>
        </w:rPr>
        <w:t>Riechmann</w:t>
      </w:r>
      <w:proofErr w:type="spellEnd"/>
      <w:r w:rsidRPr="004D4319">
        <w:rPr>
          <w:rFonts w:ascii="Arial" w:eastAsia="Times New Roman" w:hAnsi="Arial" w:cs="Arial"/>
          <w:sz w:val="24"/>
          <w:szCs w:val="24"/>
          <w:lang w:eastAsia="es-ES"/>
        </w:rPr>
        <w:t>, J. (</w:t>
      </w:r>
      <w:proofErr w:type="spellStart"/>
      <w:r w:rsidRPr="004D4319">
        <w:rPr>
          <w:rFonts w:ascii="Arial" w:eastAsia="Times New Roman" w:hAnsi="Arial" w:cs="Arial"/>
          <w:sz w:val="24"/>
          <w:szCs w:val="24"/>
          <w:lang w:eastAsia="es-ES"/>
        </w:rPr>
        <w:t>comps</w:t>
      </w:r>
      <w:proofErr w:type="spellEnd"/>
      <w:r w:rsidRPr="004D4319">
        <w:rPr>
          <w:rFonts w:ascii="Arial" w:eastAsia="Times New Roman" w:hAnsi="Arial" w:cs="Arial"/>
          <w:sz w:val="24"/>
          <w:szCs w:val="24"/>
          <w:lang w:eastAsia="es-ES"/>
        </w:rPr>
        <w:t>.), Trabajar sin destruir. Trabajadores, sindicatos y ecologismo, Ediciones HOAC,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Funes, M. J. y </w:t>
      </w:r>
      <w:proofErr w:type="spellStart"/>
      <w:r w:rsidRPr="004D4319">
        <w:rPr>
          <w:rFonts w:ascii="Arial" w:eastAsia="Times New Roman" w:hAnsi="Arial" w:cs="Arial"/>
          <w:sz w:val="24"/>
          <w:szCs w:val="24"/>
          <w:lang w:eastAsia="es-ES"/>
        </w:rPr>
        <w:t>Monferrer</w:t>
      </w:r>
      <w:proofErr w:type="spellEnd"/>
      <w:r w:rsidRPr="004D4319">
        <w:rPr>
          <w:rFonts w:ascii="Arial" w:eastAsia="Times New Roman" w:hAnsi="Arial" w:cs="Arial"/>
          <w:sz w:val="24"/>
          <w:szCs w:val="24"/>
          <w:lang w:eastAsia="es-ES"/>
        </w:rPr>
        <w:t xml:space="preserve">, J. (2003), “Perspectivas teóricas y aproximaciones metodológicas al estudio de la participación” en Funes, M. J.; </w:t>
      </w:r>
      <w:proofErr w:type="spellStart"/>
      <w:r w:rsidRPr="004D4319">
        <w:rPr>
          <w:rFonts w:ascii="Arial" w:eastAsia="Times New Roman" w:hAnsi="Arial" w:cs="Arial"/>
          <w:sz w:val="24"/>
          <w:szCs w:val="24"/>
          <w:lang w:eastAsia="es-ES"/>
        </w:rPr>
        <w:t>Adell</w:t>
      </w:r>
      <w:proofErr w:type="spellEnd"/>
      <w:r w:rsidRPr="004D4319">
        <w:rPr>
          <w:rFonts w:ascii="Arial" w:eastAsia="Times New Roman" w:hAnsi="Arial" w:cs="Arial"/>
          <w:sz w:val="24"/>
          <w:szCs w:val="24"/>
          <w:lang w:eastAsia="es-ES"/>
        </w:rPr>
        <w:t xml:space="preserve">, R., Movimientos sociales: Cambio social y participación, UNED, Madrid. </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Gorz</w:t>
      </w:r>
      <w:proofErr w:type="spellEnd"/>
      <w:r w:rsidRPr="004D4319">
        <w:rPr>
          <w:rFonts w:ascii="Arial" w:eastAsia="Times New Roman" w:hAnsi="Arial" w:cs="Arial"/>
          <w:sz w:val="24"/>
          <w:szCs w:val="24"/>
          <w:lang w:eastAsia="es-ES"/>
        </w:rPr>
        <w:t>, A. (1995), Metamorfosis del trabajo, Sistema,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Harvey, D. (2003), Espacios de esperanza, </w:t>
      </w:r>
      <w:proofErr w:type="spellStart"/>
      <w:r w:rsidRPr="004D4319">
        <w:rPr>
          <w:rFonts w:ascii="Arial" w:eastAsia="Times New Roman" w:hAnsi="Arial" w:cs="Arial"/>
          <w:sz w:val="24"/>
          <w:szCs w:val="24"/>
          <w:lang w:eastAsia="es-ES"/>
        </w:rPr>
        <w:t>Akal</w:t>
      </w:r>
      <w:proofErr w:type="spellEnd"/>
      <w:r w:rsidRPr="004D4319">
        <w:rPr>
          <w:rFonts w:ascii="Arial" w:eastAsia="Times New Roman" w:hAnsi="Arial" w:cs="Arial"/>
          <w:sz w:val="24"/>
          <w:szCs w:val="24"/>
          <w:lang w:eastAsia="es-ES"/>
        </w:rPr>
        <w:t xml:space="preserve">, Madrid. </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Hirschman</w:t>
      </w:r>
      <w:proofErr w:type="spellEnd"/>
      <w:r w:rsidRPr="004D4319">
        <w:rPr>
          <w:rFonts w:ascii="Arial" w:eastAsia="Times New Roman" w:hAnsi="Arial" w:cs="Arial"/>
          <w:sz w:val="24"/>
          <w:szCs w:val="24"/>
          <w:lang w:eastAsia="es-ES"/>
        </w:rPr>
        <w:t>, A. (1986), El avance en colectividad: experiencias populares en la América Latina, Fondo de Cultura Económica, México D. F.</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Ibáñez, J. (1990), “Las dimensiones de un pensamiento complejo: investigación social y proyecto utópico” en </w:t>
      </w:r>
      <w:proofErr w:type="spellStart"/>
      <w:r w:rsidRPr="004D4319">
        <w:rPr>
          <w:rFonts w:ascii="Arial" w:eastAsia="Times New Roman" w:hAnsi="Arial" w:cs="Arial"/>
          <w:sz w:val="24"/>
          <w:szCs w:val="24"/>
          <w:lang w:eastAsia="es-ES"/>
        </w:rPr>
        <w:t>Anthropos</w:t>
      </w:r>
      <w:proofErr w:type="spellEnd"/>
      <w:r w:rsidRPr="004D4319">
        <w:rPr>
          <w:rFonts w:ascii="Arial" w:eastAsia="Times New Roman" w:hAnsi="Arial" w:cs="Arial"/>
          <w:sz w:val="24"/>
          <w:szCs w:val="24"/>
          <w:lang w:eastAsia="es-ES"/>
        </w:rPr>
        <w:t xml:space="preserve"> Nº 113, pp. 2-8, Barcelona.</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w:t>
      </w:r>
      <w:proofErr w:type="spellStart"/>
      <w:r w:rsidRPr="004D4319">
        <w:rPr>
          <w:rFonts w:ascii="Arial" w:eastAsia="Times New Roman" w:hAnsi="Arial" w:cs="Arial"/>
          <w:sz w:val="24"/>
          <w:szCs w:val="24"/>
          <w:lang w:eastAsia="es-ES"/>
        </w:rPr>
        <w:t>Idem</w:t>
      </w:r>
      <w:proofErr w:type="spellEnd"/>
      <w:r w:rsidRPr="004D4319">
        <w:rPr>
          <w:rFonts w:ascii="Arial" w:eastAsia="Times New Roman" w:hAnsi="Arial" w:cs="Arial"/>
          <w:sz w:val="24"/>
          <w:szCs w:val="24"/>
          <w:lang w:eastAsia="es-ES"/>
        </w:rPr>
        <w:t xml:space="preserve"> (1991), El regreso del sujeto. La investigación social de segundo orden, </w:t>
      </w:r>
      <w:proofErr w:type="spellStart"/>
      <w:r w:rsidRPr="004D4319">
        <w:rPr>
          <w:rFonts w:ascii="Arial" w:eastAsia="Times New Roman" w:hAnsi="Arial" w:cs="Arial"/>
          <w:sz w:val="24"/>
          <w:szCs w:val="24"/>
          <w:lang w:eastAsia="es-ES"/>
        </w:rPr>
        <w:t>Amerinda</w:t>
      </w:r>
      <w:proofErr w:type="spellEnd"/>
      <w:r w:rsidRPr="004D4319">
        <w:rPr>
          <w:rFonts w:ascii="Arial" w:eastAsia="Times New Roman" w:hAnsi="Arial" w:cs="Arial"/>
          <w:sz w:val="24"/>
          <w:szCs w:val="24"/>
          <w:lang w:eastAsia="es-ES"/>
        </w:rPr>
        <w:t xml:space="preserve"> estudios, Santiago de Chile.</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Ibarra, P.; Martí, S. (2003), “Los movimientos antiglobalización. La Consulta Social para la Abolición de la Deuda Externa” en  Funes, Mª; </w:t>
      </w:r>
      <w:proofErr w:type="spellStart"/>
      <w:r w:rsidRPr="004D4319">
        <w:rPr>
          <w:rFonts w:ascii="Arial" w:eastAsia="Times New Roman" w:hAnsi="Arial" w:cs="Arial"/>
          <w:sz w:val="24"/>
          <w:szCs w:val="24"/>
          <w:lang w:eastAsia="es-ES"/>
        </w:rPr>
        <w:t>Adell</w:t>
      </w:r>
      <w:proofErr w:type="spellEnd"/>
      <w:r w:rsidRPr="004D4319">
        <w:rPr>
          <w:rFonts w:ascii="Arial" w:eastAsia="Times New Roman" w:hAnsi="Arial" w:cs="Arial"/>
          <w:sz w:val="24"/>
          <w:szCs w:val="24"/>
          <w:lang w:eastAsia="es-ES"/>
        </w:rPr>
        <w:t>, R., Movimientos sociales: cambio social y participación, Madrid, UNED.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Larraín, S. (2002), “La Línea de Dignidad como indicador de sustentabilidad </w:t>
      </w:r>
      <w:proofErr w:type="spellStart"/>
      <w:r w:rsidRPr="004D4319">
        <w:rPr>
          <w:rFonts w:ascii="Arial" w:eastAsia="Times New Roman" w:hAnsi="Arial" w:cs="Arial"/>
          <w:sz w:val="24"/>
          <w:szCs w:val="24"/>
          <w:lang w:eastAsia="es-ES"/>
        </w:rPr>
        <w:t>socioambiental</w:t>
      </w:r>
      <w:proofErr w:type="spellEnd"/>
      <w:r w:rsidRPr="004D4319">
        <w:rPr>
          <w:rFonts w:ascii="Arial" w:eastAsia="Times New Roman" w:hAnsi="Arial" w:cs="Arial"/>
          <w:sz w:val="24"/>
          <w:szCs w:val="24"/>
          <w:lang w:eastAsia="es-ES"/>
        </w:rPr>
        <w:t xml:space="preserve">” en  Programa Cono Sur Sustentable, Línea de Dignidad. Desafíos Sociales para la Sustentabilidad, Fundación Heinrich </w:t>
      </w:r>
      <w:proofErr w:type="spellStart"/>
      <w:r w:rsidRPr="004D4319">
        <w:rPr>
          <w:rFonts w:ascii="Arial" w:eastAsia="Times New Roman" w:hAnsi="Arial" w:cs="Arial"/>
          <w:sz w:val="24"/>
          <w:szCs w:val="24"/>
          <w:lang w:eastAsia="es-ES"/>
        </w:rPr>
        <w:t>Böll</w:t>
      </w:r>
      <w:proofErr w:type="spellEnd"/>
      <w:r w:rsidRPr="004D4319">
        <w:rPr>
          <w:rFonts w:ascii="Arial" w:eastAsia="Times New Roman" w:hAnsi="Arial" w:cs="Arial"/>
          <w:sz w:val="24"/>
          <w:szCs w:val="24"/>
          <w:lang w:eastAsia="es-ES"/>
        </w:rPr>
        <w:t>, Santiago.</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Leff</w:t>
      </w:r>
      <w:proofErr w:type="spellEnd"/>
      <w:r w:rsidRPr="004D4319">
        <w:rPr>
          <w:rFonts w:ascii="Arial" w:eastAsia="Times New Roman" w:hAnsi="Arial" w:cs="Arial"/>
          <w:sz w:val="24"/>
          <w:szCs w:val="24"/>
          <w:lang w:eastAsia="es-ES"/>
        </w:rPr>
        <w:t>, E. (1994), Ecología y capital: racionalidad ambiental, democracia participativa y desarrollo sustentable, Siglo XXI, México, 1994.</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Max-</w:t>
      </w:r>
      <w:proofErr w:type="spellStart"/>
      <w:r w:rsidRPr="004D4319">
        <w:rPr>
          <w:rFonts w:ascii="Arial" w:eastAsia="Times New Roman" w:hAnsi="Arial" w:cs="Arial"/>
          <w:sz w:val="24"/>
          <w:szCs w:val="24"/>
          <w:lang w:eastAsia="es-ES"/>
        </w:rPr>
        <w:t>Neef</w:t>
      </w:r>
      <w:proofErr w:type="spellEnd"/>
      <w:r w:rsidRPr="004D4319">
        <w:rPr>
          <w:rFonts w:ascii="Arial" w:eastAsia="Times New Roman" w:hAnsi="Arial" w:cs="Arial"/>
          <w:sz w:val="24"/>
          <w:szCs w:val="24"/>
          <w:lang w:eastAsia="es-ES"/>
        </w:rPr>
        <w:t xml:space="preserve">, M; Elizalde, A. et al. (1986), Desarrollo a escala humana: una opción para el futuro, </w:t>
      </w:r>
      <w:proofErr w:type="spellStart"/>
      <w:r w:rsidRPr="004D4319">
        <w:rPr>
          <w:rFonts w:ascii="Arial" w:eastAsia="Times New Roman" w:hAnsi="Arial" w:cs="Arial"/>
          <w:sz w:val="24"/>
          <w:szCs w:val="24"/>
          <w:lang w:eastAsia="es-ES"/>
        </w:rPr>
        <w:t>Development</w:t>
      </w:r>
      <w:proofErr w:type="spellEnd"/>
      <w:r w:rsidRPr="004D4319">
        <w:rPr>
          <w:rFonts w:ascii="Arial" w:eastAsia="Times New Roman" w:hAnsi="Arial" w:cs="Arial"/>
          <w:sz w:val="24"/>
          <w:szCs w:val="24"/>
          <w:lang w:eastAsia="es-ES"/>
        </w:rPr>
        <w:t xml:space="preserve"> Dialogue, Número especial, CEPAUR y Fundación </w:t>
      </w:r>
      <w:proofErr w:type="spellStart"/>
      <w:r w:rsidRPr="004D4319">
        <w:rPr>
          <w:rFonts w:ascii="Arial" w:eastAsia="Times New Roman" w:hAnsi="Arial" w:cs="Arial"/>
          <w:sz w:val="24"/>
          <w:szCs w:val="24"/>
          <w:lang w:eastAsia="es-ES"/>
        </w:rPr>
        <w:t>Dag</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Hammarskjöld</w:t>
      </w:r>
      <w:proofErr w:type="spellEnd"/>
      <w:r w:rsidRPr="004D4319">
        <w:rPr>
          <w:rFonts w:ascii="Arial" w:eastAsia="Times New Roman" w:hAnsi="Arial" w:cs="Arial"/>
          <w:sz w:val="24"/>
          <w:szCs w:val="24"/>
          <w:lang w:eastAsia="es-ES"/>
        </w:rPr>
        <w:t>, Uppsala, Suecia.</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Marshall, T. H. (1950), “</w:t>
      </w:r>
      <w:proofErr w:type="spellStart"/>
      <w:r w:rsidRPr="004D4319">
        <w:rPr>
          <w:rFonts w:ascii="Arial" w:eastAsia="Times New Roman" w:hAnsi="Arial" w:cs="Arial"/>
          <w:sz w:val="24"/>
          <w:szCs w:val="24"/>
          <w:lang w:eastAsia="es-ES"/>
        </w:rPr>
        <w:t>Citizenship</w:t>
      </w:r>
      <w:proofErr w:type="spellEnd"/>
      <w:r w:rsidRPr="004D4319">
        <w:rPr>
          <w:rFonts w:ascii="Arial" w:eastAsia="Times New Roman" w:hAnsi="Arial" w:cs="Arial"/>
          <w:sz w:val="24"/>
          <w:szCs w:val="24"/>
          <w:lang w:eastAsia="es-ES"/>
        </w:rPr>
        <w:t xml:space="preserve"> and Social </w:t>
      </w:r>
      <w:proofErr w:type="spellStart"/>
      <w:r w:rsidRPr="004D4319">
        <w:rPr>
          <w:rFonts w:ascii="Arial" w:eastAsia="Times New Roman" w:hAnsi="Arial" w:cs="Arial"/>
          <w:sz w:val="24"/>
          <w:szCs w:val="24"/>
          <w:lang w:eastAsia="es-ES"/>
        </w:rPr>
        <w:t>Class</w:t>
      </w:r>
      <w:proofErr w:type="spellEnd"/>
      <w:r w:rsidRPr="004D4319">
        <w:rPr>
          <w:rFonts w:ascii="Arial" w:eastAsia="Times New Roman" w:hAnsi="Arial" w:cs="Arial"/>
          <w:sz w:val="24"/>
          <w:szCs w:val="24"/>
          <w:lang w:eastAsia="es-ES"/>
        </w:rPr>
        <w:t xml:space="preserve">” en Marshall, T. H. Y </w:t>
      </w:r>
      <w:proofErr w:type="spellStart"/>
      <w:r w:rsidRPr="004D4319">
        <w:rPr>
          <w:rFonts w:ascii="Arial" w:eastAsia="Times New Roman" w:hAnsi="Arial" w:cs="Arial"/>
          <w:sz w:val="24"/>
          <w:szCs w:val="24"/>
          <w:lang w:eastAsia="es-ES"/>
        </w:rPr>
        <w:t>Bottomore</w:t>
      </w:r>
      <w:proofErr w:type="spellEnd"/>
      <w:r w:rsidRPr="004D4319">
        <w:rPr>
          <w:rFonts w:ascii="Arial" w:eastAsia="Times New Roman" w:hAnsi="Arial" w:cs="Arial"/>
          <w:sz w:val="24"/>
          <w:szCs w:val="24"/>
          <w:lang w:eastAsia="es-ES"/>
        </w:rPr>
        <w:t xml:space="preserve">, T., </w:t>
      </w:r>
      <w:proofErr w:type="spellStart"/>
      <w:r w:rsidRPr="004D4319">
        <w:rPr>
          <w:rFonts w:ascii="Arial" w:eastAsia="Times New Roman" w:hAnsi="Arial" w:cs="Arial"/>
          <w:sz w:val="24"/>
          <w:szCs w:val="24"/>
          <w:lang w:eastAsia="es-ES"/>
        </w:rPr>
        <w:t>Citizenship</w:t>
      </w:r>
      <w:proofErr w:type="spellEnd"/>
      <w:r w:rsidRPr="004D4319">
        <w:rPr>
          <w:rFonts w:ascii="Arial" w:eastAsia="Times New Roman" w:hAnsi="Arial" w:cs="Arial"/>
          <w:sz w:val="24"/>
          <w:szCs w:val="24"/>
          <w:lang w:eastAsia="es-ES"/>
        </w:rPr>
        <w:t xml:space="preserve"> and Social </w:t>
      </w:r>
      <w:proofErr w:type="spellStart"/>
      <w:r w:rsidRPr="004D4319">
        <w:rPr>
          <w:rFonts w:ascii="Arial" w:eastAsia="Times New Roman" w:hAnsi="Arial" w:cs="Arial"/>
          <w:sz w:val="24"/>
          <w:szCs w:val="24"/>
          <w:lang w:eastAsia="es-ES"/>
        </w:rPr>
        <w:t>Class</w:t>
      </w:r>
      <w:proofErr w:type="spellEnd"/>
      <w:r w:rsidRPr="004D4319">
        <w:rPr>
          <w:rFonts w:ascii="Arial" w:eastAsia="Times New Roman" w:hAnsi="Arial" w:cs="Arial"/>
          <w:sz w:val="24"/>
          <w:szCs w:val="24"/>
          <w:lang w:eastAsia="es-ES"/>
        </w:rPr>
        <w:t xml:space="preserve">, Pluto </w:t>
      </w:r>
      <w:proofErr w:type="spellStart"/>
      <w:r w:rsidRPr="004D4319">
        <w:rPr>
          <w:rFonts w:ascii="Arial" w:eastAsia="Times New Roman" w:hAnsi="Arial" w:cs="Arial"/>
          <w:sz w:val="24"/>
          <w:szCs w:val="24"/>
          <w:lang w:eastAsia="es-ES"/>
        </w:rPr>
        <w:t>Press</w:t>
      </w:r>
      <w:proofErr w:type="spellEnd"/>
      <w:r w:rsidRPr="004D4319">
        <w:rPr>
          <w:rFonts w:ascii="Arial" w:eastAsia="Times New Roman" w:hAnsi="Arial" w:cs="Arial"/>
          <w:sz w:val="24"/>
          <w:szCs w:val="24"/>
          <w:lang w:eastAsia="es-ES"/>
        </w:rPr>
        <w:t xml:space="preserve">, Londres. </w:t>
      </w:r>
      <w:r w:rsidRPr="004D4319">
        <w:rPr>
          <w:rFonts w:ascii="Arial" w:eastAsia="Times New Roman" w:hAnsi="Arial" w:cs="Arial"/>
          <w:sz w:val="24"/>
          <w:szCs w:val="24"/>
          <w:lang w:eastAsia="es-ES"/>
        </w:rPr>
        <w:br/>
      </w:r>
      <w:proofErr w:type="gramStart"/>
      <w:r w:rsidRPr="004D4319">
        <w:rPr>
          <w:rFonts w:ascii="Arial" w:eastAsia="Times New Roman" w:hAnsi="Arial" w:cs="Arial"/>
          <w:sz w:val="24"/>
          <w:szCs w:val="24"/>
          <w:lang w:eastAsia="es-ES"/>
        </w:rPr>
        <w:t>DOI :</w:t>
      </w:r>
      <w:proofErr w:type="gramEnd"/>
      <w:r w:rsidRPr="004D4319">
        <w:rPr>
          <w:rFonts w:ascii="Arial" w:eastAsia="Times New Roman" w:hAnsi="Arial" w:cs="Arial"/>
          <w:sz w:val="24"/>
          <w:szCs w:val="24"/>
          <w:lang w:eastAsia="es-ES"/>
        </w:rPr>
        <w:t xml:space="preserve"> </w:t>
      </w:r>
      <w:hyperlink r:id="rId8" w:history="1">
        <w:r w:rsidRPr="004D4319">
          <w:rPr>
            <w:rFonts w:ascii="Arial" w:eastAsia="Times New Roman" w:hAnsi="Arial" w:cs="Arial"/>
            <w:color w:val="0000FF"/>
            <w:sz w:val="24"/>
            <w:szCs w:val="24"/>
            <w:u w:val="single"/>
            <w:lang w:eastAsia="es-ES"/>
          </w:rPr>
          <w:t>10.2307/j.ctt18mvns1</w:t>
        </w:r>
      </w:hyperlink>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Melucci</w:t>
      </w:r>
      <w:proofErr w:type="spellEnd"/>
      <w:r w:rsidRPr="004D4319">
        <w:rPr>
          <w:rFonts w:ascii="Arial" w:eastAsia="Times New Roman" w:hAnsi="Arial" w:cs="Arial"/>
          <w:sz w:val="24"/>
          <w:szCs w:val="24"/>
          <w:lang w:eastAsia="es-ES"/>
        </w:rPr>
        <w:t>, A. (1984), «</w:t>
      </w:r>
      <w:proofErr w:type="spellStart"/>
      <w:r w:rsidRPr="004D4319">
        <w:rPr>
          <w:rFonts w:ascii="Arial" w:eastAsia="Times New Roman" w:hAnsi="Arial" w:cs="Arial"/>
          <w:sz w:val="24"/>
          <w:szCs w:val="24"/>
          <w:lang w:eastAsia="es-ES"/>
        </w:rPr>
        <w:t>An</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end</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to</w:t>
      </w:r>
      <w:proofErr w:type="spellEnd"/>
      <w:r w:rsidRPr="004D4319">
        <w:rPr>
          <w:rFonts w:ascii="Arial" w:eastAsia="Times New Roman" w:hAnsi="Arial" w:cs="Arial"/>
          <w:sz w:val="24"/>
          <w:szCs w:val="24"/>
          <w:lang w:eastAsia="es-ES"/>
        </w:rPr>
        <w:t xml:space="preserve"> social </w:t>
      </w:r>
      <w:proofErr w:type="spellStart"/>
      <w:r w:rsidRPr="004D4319">
        <w:rPr>
          <w:rFonts w:ascii="Arial" w:eastAsia="Times New Roman" w:hAnsi="Arial" w:cs="Arial"/>
          <w:sz w:val="24"/>
          <w:szCs w:val="24"/>
          <w:lang w:eastAsia="es-ES"/>
        </w:rPr>
        <w:t>movements</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Introductory</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paper</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to</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the</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sessions</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on</w:t>
      </w:r>
      <w:proofErr w:type="spellEnd"/>
      <w:r w:rsidRPr="004D4319">
        <w:rPr>
          <w:rFonts w:ascii="Arial" w:eastAsia="Times New Roman" w:hAnsi="Arial" w:cs="Arial"/>
          <w:sz w:val="24"/>
          <w:szCs w:val="24"/>
          <w:lang w:eastAsia="es-ES"/>
        </w:rPr>
        <w:t xml:space="preserve"> New </w:t>
      </w:r>
      <w:proofErr w:type="spellStart"/>
      <w:r w:rsidRPr="004D4319">
        <w:rPr>
          <w:rFonts w:ascii="Arial" w:eastAsia="Times New Roman" w:hAnsi="Arial" w:cs="Arial"/>
          <w:sz w:val="24"/>
          <w:szCs w:val="24"/>
          <w:lang w:eastAsia="es-ES"/>
        </w:rPr>
        <w:t>movements</w:t>
      </w:r>
      <w:proofErr w:type="spellEnd"/>
      <w:r w:rsidRPr="004D4319">
        <w:rPr>
          <w:rFonts w:ascii="Arial" w:eastAsia="Times New Roman" w:hAnsi="Arial" w:cs="Arial"/>
          <w:sz w:val="24"/>
          <w:szCs w:val="24"/>
          <w:lang w:eastAsia="es-ES"/>
        </w:rPr>
        <w:t xml:space="preserve"> and </w:t>
      </w:r>
      <w:proofErr w:type="spellStart"/>
      <w:r w:rsidRPr="004D4319">
        <w:rPr>
          <w:rFonts w:ascii="Arial" w:eastAsia="Times New Roman" w:hAnsi="Arial" w:cs="Arial"/>
          <w:sz w:val="24"/>
          <w:szCs w:val="24"/>
          <w:lang w:eastAsia="es-ES"/>
        </w:rPr>
        <w:t>change</w:t>
      </w:r>
      <w:proofErr w:type="spellEnd"/>
      <w:r w:rsidRPr="004D4319">
        <w:rPr>
          <w:rFonts w:ascii="Arial" w:eastAsia="Times New Roman" w:hAnsi="Arial" w:cs="Arial"/>
          <w:sz w:val="24"/>
          <w:szCs w:val="24"/>
          <w:lang w:eastAsia="es-ES"/>
        </w:rPr>
        <w:t xml:space="preserve"> in </w:t>
      </w:r>
      <w:proofErr w:type="spellStart"/>
      <w:r w:rsidRPr="004D4319">
        <w:rPr>
          <w:rFonts w:ascii="Arial" w:eastAsia="Times New Roman" w:hAnsi="Arial" w:cs="Arial"/>
          <w:sz w:val="24"/>
          <w:szCs w:val="24"/>
          <w:lang w:eastAsia="es-ES"/>
        </w:rPr>
        <w:t>organizational</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forms</w:t>
      </w:r>
      <w:proofErr w:type="spellEnd"/>
      <w:r w:rsidRPr="004D4319">
        <w:rPr>
          <w:rFonts w:ascii="Arial" w:eastAsia="Times New Roman" w:hAnsi="Arial" w:cs="Arial"/>
          <w:sz w:val="24"/>
          <w:szCs w:val="24"/>
          <w:lang w:eastAsia="es-ES"/>
        </w:rPr>
        <w:t xml:space="preserve">. Social </w:t>
      </w:r>
      <w:proofErr w:type="spellStart"/>
      <w:r w:rsidRPr="004D4319">
        <w:rPr>
          <w:rFonts w:ascii="Arial" w:eastAsia="Times New Roman" w:hAnsi="Arial" w:cs="Arial"/>
          <w:sz w:val="24"/>
          <w:szCs w:val="24"/>
          <w:lang w:eastAsia="es-ES"/>
        </w:rPr>
        <w:t>Science</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Information</w:t>
      </w:r>
      <w:proofErr w:type="spellEnd"/>
      <w:r w:rsidRPr="004D4319">
        <w:rPr>
          <w:rFonts w:ascii="Arial" w:eastAsia="Times New Roman" w:hAnsi="Arial" w:cs="Arial"/>
          <w:sz w:val="24"/>
          <w:szCs w:val="24"/>
          <w:lang w:eastAsia="es-ES"/>
        </w:rPr>
        <w:t>, vol. 23, Nº 415.</w:t>
      </w:r>
      <w:r w:rsidRPr="004D4319">
        <w:rPr>
          <w:rFonts w:ascii="Arial" w:eastAsia="Times New Roman" w:hAnsi="Arial" w:cs="Arial"/>
          <w:sz w:val="24"/>
          <w:szCs w:val="24"/>
          <w:lang w:eastAsia="es-ES"/>
        </w:rPr>
        <w:br/>
      </w:r>
      <w:proofErr w:type="gramStart"/>
      <w:r w:rsidRPr="004D4319">
        <w:rPr>
          <w:rFonts w:ascii="Arial" w:eastAsia="Times New Roman" w:hAnsi="Arial" w:cs="Arial"/>
          <w:sz w:val="24"/>
          <w:szCs w:val="24"/>
          <w:lang w:eastAsia="es-ES"/>
        </w:rPr>
        <w:t>DOI :</w:t>
      </w:r>
      <w:proofErr w:type="gramEnd"/>
      <w:r w:rsidRPr="004D4319">
        <w:rPr>
          <w:rFonts w:ascii="Arial" w:eastAsia="Times New Roman" w:hAnsi="Arial" w:cs="Arial"/>
          <w:sz w:val="24"/>
          <w:szCs w:val="24"/>
          <w:lang w:eastAsia="es-ES"/>
        </w:rPr>
        <w:t xml:space="preserve"> </w:t>
      </w:r>
      <w:hyperlink r:id="rId9" w:history="1">
        <w:r w:rsidRPr="004D4319">
          <w:rPr>
            <w:rFonts w:ascii="Arial" w:eastAsia="Times New Roman" w:hAnsi="Arial" w:cs="Arial"/>
            <w:color w:val="0000FF"/>
            <w:sz w:val="24"/>
            <w:szCs w:val="24"/>
            <w:u w:val="single"/>
            <w:lang w:eastAsia="es-ES"/>
          </w:rPr>
          <w:t>10.1177/053901884023004008</w:t>
        </w:r>
      </w:hyperlink>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w:t>
      </w:r>
      <w:proofErr w:type="spellStart"/>
      <w:r w:rsidRPr="004D4319">
        <w:rPr>
          <w:rFonts w:ascii="Arial" w:eastAsia="Times New Roman" w:hAnsi="Arial" w:cs="Arial"/>
          <w:sz w:val="24"/>
          <w:szCs w:val="24"/>
          <w:lang w:eastAsia="es-ES"/>
        </w:rPr>
        <w:t>Idem</w:t>
      </w:r>
      <w:proofErr w:type="spellEnd"/>
      <w:r w:rsidRPr="004D4319">
        <w:rPr>
          <w:rFonts w:ascii="Arial" w:eastAsia="Times New Roman" w:hAnsi="Arial" w:cs="Arial"/>
          <w:sz w:val="24"/>
          <w:szCs w:val="24"/>
          <w:lang w:eastAsia="es-ES"/>
        </w:rPr>
        <w:t xml:space="preserve"> (1994), “¿Qué hay de nuevo en los ‘nuevos movimientos sociales’?” en Laraña, E.; y </w:t>
      </w:r>
      <w:proofErr w:type="spellStart"/>
      <w:r w:rsidRPr="004D4319">
        <w:rPr>
          <w:rFonts w:ascii="Arial" w:eastAsia="Times New Roman" w:hAnsi="Arial" w:cs="Arial"/>
          <w:sz w:val="24"/>
          <w:szCs w:val="24"/>
          <w:lang w:eastAsia="es-ES"/>
        </w:rPr>
        <w:t>Gusfeld</w:t>
      </w:r>
      <w:proofErr w:type="spellEnd"/>
      <w:r w:rsidRPr="004D4319">
        <w:rPr>
          <w:rFonts w:ascii="Arial" w:eastAsia="Times New Roman" w:hAnsi="Arial" w:cs="Arial"/>
          <w:sz w:val="24"/>
          <w:szCs w:val="24"/>
          <w:lang w:eastAsia="es-ES"/>
        </w:rPr>
        <w:t>, J. (</w:t>
      </w:r>
      <w:proofErr w:type="spellStart"/>
      <w:r w:rsidRPr="004D4319">
        <w:rPr>
          <w:rFonts w:ascii="Arial" w:eastAsia="Times New Roman" w:hAnsi="Arial" w:cs="Arial"/>
          <w:sz w:val="24"/>
          <w:szCs w:val="24"/>
          <w:lang w:eastAsia="es-ES"/>
        </w:rPr>
        <w:t>comps</w:t>
      </w:r>
      <w:proofErr w:type="spellEnd"/>
      <w:r w:rsidRPr="004D4319">
        <w:rPr>
          <w:rFonts w:ascii="Arial" w:eastAsia="Times New Roman" w:hAnsi="Arial" w:cs="Arial"/>
          <w:sz w:val="24"/>
          <w:szCs w:val="24"/>
          <w:lang w:eastAsia="es-ES"/>
        </w:rPr>
        <w:t>.), Los nuevos movimientos sociales. De la ideología a la identidad, CIS,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Mendoza, X. (1996), “Las transformaciones del sector público en las sociedades avanzadas. Del estado del bienestar al estado relacional” en </w:t>
      </w:r>
      <w:proofErr w:type="spellStart"/>
      <w:r w:rsidRPr="004D4319">
        <w:rPr>
          <w:rFonts w:ascii="Arial" w:eastAsia="Times New Roman" w:hAnsi="Arial" w:cs="Arial"/>
          <w:sz w:val="24"/>
          <w:szCs w:val="24"/>
          <w:lang w:eastAsia="es-ES"/>
        </w:rPr>
        <w:t>Papers</w:t>
      </w:r>
      <w:proofErr w:type="spellEnd"/>
      <w:r w:rsidRPr="004D4319">
        <w:rPr>
          <w:rFonts w:ascii="Arial" w:eastAsia="Times New Roman" w:hAnsi="Arial" w:cs="Arial"/>
          <w:sz w:val="24"/>
          <w:szCs w:val="24"/>
          <w:lang w:eastAsia="es-ES"/>
        </w:rPr>
        <w:t xml:space="preserve"> de </w:t>
      </w:r>
      <w:proofErr w:type="spellStart"/>
      <w:r w:rsidRPr="004D4319">
        <w:rPr>
          <w:rFonts w:ascii="Arial" w:eastAsia="Times New Roman" w:hAnsi="Arial" w:cs="Arial"/>
          <w:sz w:val="24"/>
          <w:szCs w:val="24"/>
          <w:lang w:eastAsia="es-ES"/>
        </w:rPr>
        <w:t>Formació</w:t>
      </w:r>
      <w:proofErr w:type="spellEnd"/>
      <w:r w:rsidRPr="004D4319">
        <w:rPr>
          <w:rFonts w:ascii="Arial" w:eastAsia="Times New Roman" w:hAnsi="Arial" w:cs="Arial"/>
          <w:sz w:val="24"/>
          <w:szCs w:val="24"/>
          <w:lang w:eastAsia="es-ES"/>
        </w:rPr>
        <w:t xml:space="preserve">, 23. </w:t>
      </w:r>
      <w:proofErr w:type="spellStart"/>
      <w:r w:rsidRPr="004D4319">
        <w:rPr>
          <w:rFonts w:ascii="Arial" w:eastAsia="Times New Roman" w:hAnsi="Arial" w:cs="Arial"/>
          <w:sz w:val="24"/>
          <w:szCs w:val="24"/>
          <w:lang w:eastAsia="es-ES"/>
        </w:rPr>
        <w:t>Diputació</w:t>
      </w:r>
      <w:proofErr w:type="spellEnd"/>
      <w:r w:rsidRPr="004D4319">
        <w:rPr>
          <w:rFonts w:ascii="Arial" w:eastAsia="Times New Roman" w:hAnsi="Arial" w:cs="Arial"/>
          <w:sz w:val="24"/>
          <w:szCs w:val="24"/>
          <w:lang w:eastAsia="es-ES"/>
        </w:rPr>
        <w:t xml:space="preserve"> de Barcelona.</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Negri</w:t>
      </w:r>
      <w:proofErr w:type="spellEnd"/>
      <w:r w:rsidRPr="004D4319">
        <w:rPr>
          <w:rFonts w:ascii="Arial" w:eastAsia="Times New Roman" w:hAnsi="Arial" w:cs="Arial"/>
          <w:sz w:val="24"/>
          <w:szCs w:val="24"/>
          <w:lang w:eastAsia="es-ES"/>
        </w:rPr>
        <w:t xml:space="preserve">, A.; </w:t>
      </w:r>
      <w:proofErr w:type="spellStart"/>
      <w:r w:rsidRPr="004D4319">
        <w:rPr>
          <w:rFonts w:ascii="Arial" w:eastAsia="Times New Roman" w:hAnsi="Arial" w:cs="Arial"/>
          <w:sz w:val="24"/>
          <w:szCs w:val="24"/>
          <w:lang w:eastAsia="es-ES"/>
        </w:rPr>
        <w:t>Cocco</w:t>
      </w:r>
      <w:proofErr w:type="spellEnd"/>
      <w:r w:rsidRPr="004D4319">
        <w:rPr>
          <w:rFonts w:ascii="Arial" w:eastAsia="Times New Roman" w:hAnsi="Arial" w:cs="Arial"/>
          <w:sz w:val="24"/>
          <w:szCs w:val="24"/>
          <w:lang w:eastAsia="es-ES"/>
        </w:rPr>
        <w:t xml:space="preserve">, G. (2006), Global. </w:t>
      </w:r>
      <w:proofErr w:type="spellStart"/>
      <w:r w:rsidRPr="004D4319">
        <w:rPr>
          <w:rFonts w:ascii="Arial" w:eastAsia="Times New Roman" w:hAnsi="Arial" w:cs="Arial"/>
          <w:sz w:val="24"/>
          <w:szCs w:val="24"/>
          <w:lang w:eastAsia="es-ES"/>
        </w:rPr>
        <w:t>Biopoder</w:t>
      </w:r>
      <w:proofErr w:type="spellEnd"/>
      <w:r w:rsidRPr="004D4319">
        <w:rPr>
          <w:rFonts w:ascii="Arial" w:eastAsia="Times New Roman" w:hAnsi="Arial" w:cs="Arial"/>
          <w:sz w:val="24"/>
          <w:szCs w:val="24"/>
          <w:lang w:eastAsia="es-ES"/>
        </w:rPr>
        <w:t xml:space="preserve"> y luchas en una América Latina globalizada, Paidós, Buenos Aires.</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Noya</w:t>
      </w:r>
      <w:proofErr w:type="spellEnd"/>
      <w:r w:rsidRPr="004D4319">
        <w:rPr>
          <w:rFonts w:ascii="Arial" w:eastAsia="Times New Roman" w:hAnsi="Arial" w:cs="Arial"/>
          <w:sz w:val="24"/>
          <w:szCs w:val="24"/>
          <w:lang w:eastAsia="es-ES"/>
        </w:rPr>
        <w:t>, F. J. (1991), “Por un ‘</w:t>
      </w:r>
      <w:proofErr w:type="spellStart"/>
      <w:r w:rsidRPr="004D4319">
        <w:rPr>
          <w:rFonts w:ascii="Arial" w:eastAsia="Times New Roman" w:hAnsi="Arial" w:cs="Arial"/>
          <w:sz w:val="24"/>
          <w:szCs w:val="24"/>
          <w:lang w:eastAsia="es-ES"/>
        </w:rPr>
        <w:t>situacionismo</w:t>
      </w:r>
      <w:proofErr w:type="spellEnd"/>
      <w:r w:rsidRPr="004D4319">
        <w:rPr>
          <w:rFonts w:ascii="Arial" w:eastAsia="Times New Roman" w:hAnsi="Arial" w:cs="Arial"/>
          <w:sz w:val="24"/>
          <w:szCs w:val="24"/>
          <w:lang w:eastAsia="es-ES"/>
        </w:rPr>
        <w:t xml:space="preserve"> sistémico’. La teoría de sistemas sociales y el análisis institucional en el estudio de los nuevos movimientos sociales” en REIS Nº 55, pp. 25-45, CIS, Madrid. </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Offe</w:t>
      </w:r>
      <w:proofErr w:type="spellEnd"/>
      <w:r w:rsidRPr="004D4319">
        <w:rPr>
          <w:rFonts w:ascii="Arial" w:eastAsia="Times New Roman" w:hAnsi="Arial" w:cs="Arial"/>
          <w:sz w:val="24"/>
          <w:szCs w:val="24"/>
          <w:lang w:eastAsia="es-ES"/>
        </w:rPr>
        <w:t>, C (1988), Partidos políticos y nuevos movimientos sociales, Sistema,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Recio, A. (2001), “Más acá de la lucha antiglobalización” en Mientras Tanto, Nº 80, Barcelona.</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lastRenderedPageBreak/>
        <w:t>Robertson, R. (1995), “</w:t>
      </w:r>
      <w:proofErr w:type="spellStart"/>
      <w:r w:rsidRPr="004D4319">
        <w:rPr>
          <w:rFonts w:ascii="Arial" w:eastAsia="Times New Roman" w:hAnsi="Arial" w:cs="Arial"/>
          <w:sz w:val="24"/>
          <w:szCs w:val="24"/>
          <w:lang w:eastAsia="es-ES"/>
        </w:rPr>
        <w:t>Glocalization</w:t>
      </w:r>
      <w:proofErr w:type="spellEnd"/>
      <w:r w:rsidRPr="004D4319">
        <w:rPr>
          <w:rFonts w:ascii="Arial" w:eastAsia="Times New Roman" w:hAnsi="Arial" w:cs="Arial"/>
          <w:sz w:val="24"/>
          <w:szCs w:val="24"/>
          <w:lang w:eastAsia="es-ES"/>
        </w:rPr>
        <w:t>: Time-</w:t>
      </w:r>
      <w:proofErr w:type="spellStart"/>
      <w:r w:rsidRPr="004D4319">
        <w:rPr>
          <w:rFonts w:ascii="Arial" w:eastAsia="Times New Roman" w:hAnsi="Arial" w:cs="Arial"/>
          <w:sz w:val="24"/>
          <w:szCs w:val="24"/>
          <w:lang w:eastAsia="es-ES"/>
        </w:rPr>
        <w:t>Space</w:t>
      </w:r>
      <w:proofErr w:type="spellEnd"/>
      <w:r w:rsidRPr="004D4319">
        <w:rPr>
          <w:rFonts w:ascii="Arial" w:eastAsia="Times New Roman" w:hAnsi="Arial" w:cs="Arial"/>
          <w:sz w:val="24"/>
          <w:szCs w:val="24"/>
          <w:lang w:eastAsia="es-ES"/>
        </w:rPr>
        <w:t xml:space="preserve"> and </w:t>
      </w:r>
      <w:proofErr w:type="spellStart"/>
      <w:r w:rsidRPr="004D4319">
        <w:rPr>
          <w:rFonts w:ascii="Arial" w:eastAsia="Times New Roman" w:hAnsi="Arial" w:cs="Arial"/>
          <w:sz w:val="24"/>
          <w:szCs w:val="24"/>
          <w:lang w:eastAsia="es-ES"/>
        </w:rPr>
        <w:t>Homogenety-Heterogenety</w:t>
      </w:r>
      <w:proofErr w:type="spellEnd"/>
      <w:r w:rsidRPr="004D4319">
        <w:rPr>
          <w:rFonts w:ascii="Arial" w:eastAsia="Times New Roman" w:hAnsi="Arial" w:cs="Arial"/>
          <w:sz w:val="24"/>
          <w:szCs w:val="24"/>
          <w:lang w:eastAsia="es-ES"/>
        </w:rPr>
        <w:t xml:space="preserve">” en </w:t>
      </w:r>
      <w:proofErr w:type="spellStart"/>
      <w:r w:rsidRPr="004D4319">
        <w:rPr>
          <w:rFonts w:ascii="Arial" w:eastAsia="Times New Roman" w:hAnsi="Arial" w:cs="Arial"/>
          <w:sz w:val="24"/>
          <w:szCs w:val="24"/>
          <w:lang w:eastAsia="es-ES"/>
        </w:rPr>
        <w:t>Featherstone</w:t>
      </w:r>
      <w:proofErr w:type="spellEnd"/>
      <w:r w:rsidRPr="004D4319">
        <w:rPr>
          <w:rFonts w:ascii="Arial" w:eastAsia="Times New Roman" w:hAnsi="Arial" w:cs="Arial"/>
          <w:sz w:val="24"/>
          <w:szCs w:val="24"/>
          <w:lang w:eastAsia="es-ES"/>
        </w:rPr>
        <w:t xml:space="preserve">, M.; </w:t>
      </w:r>
      <w:proofErr w:type="spellStart"/>
      <w:r w:rsidRPr="004D4319">
        <w:rPr>
          <w:rFonts w:ascii="Arial" w:eastAsia="Times New Roman" w:hAnsi="Arial" w:cs="Arial"/>
          <w:sz w:val="24"/>
          <w:szCs w:val="24"/>
          <w:lang w:eastAsia="es-ES"/>
        </w:rPr>
        <w:t>Lash</w:t>
      </w:r>
      <w:proofErr w:type="spellEnd"/>
      <w:r w:rsidRPr="004D4319">
        <w:rPr>
          <w:rFonts w:ascii="Arial" w:eastAsia="Times New Roman" w:hAnsi="Arial" w:cs="Arial"/>
          <w:sz w:val="24"/>
          <w:szCs w:val="24"/>
          <w:lang w:eastAsia="es-ES"/>
        </w:rPr>
        <w:t>, S. y Robertson, R. (</w:t>
      </w:r>
      <w:proofErr w:type="spellStart"/>
      <w:r w:rsidRPr="004D4319">
        <w:rPr>
          <w:rFonts w:ascii="Arial" w:eastAsia="Times New Roman" w:hAnsi="Arial" w:cs="Arial"/>
          <w:sz w:val="24"/>
          <w:szCs w:val="24"/>
          <w:lang w:eastAsia="es-ES"/>
        </w:rPr>
        <w:t>Eds</w:t>
      </w:r>
      <w:proofErr w:type="spellEnd"/>
      <w:r w:rsidRPr="004D4319">
        <w:rPr>
          <w:rFonts w:ascii="Arial" w:eastAsia="Times New Roman" w:hAnsi="Arial" w:cs="Arial"/>
          <w:sz w:val="24"/>
          <w:szCs w:val="24"/>
          <w:lang w:eastAsia="es-ES"/>
        </w:rPr>
        <w:t xml:space="preserve">), Global </w:t>
      </w:r>
      <w:proofErr w:type="spellStart"/>
      <w:r w:rsidRPr="004D4319">
        <w:rPr>
          <w:rFonts w:ascii="Arial" w:eastAsia="Times New Roman" w:hAnsi="Arial" w:cs="Arial"/>
          <w:sz w:val="24"/>
          <w:szCs w:val="24"/>
          <w:lang w:eastAsia="es-ES"/>
        </w:rPr>
        <w:t>Modernities</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Sage</w:t>
      </w:r>
      <w:proofErr w:type="spellEnd"/>
      <w:r w:rsidRPr="004D4319">
        <w:rPr>
          <w:rFonts w:ascii="Arial" w:eastAsia="Times New Roman" w:hAnsi="Arial" w:cs="Arial"/>
          <w:sz w:val="24"/>
          <w:szCs w:val="24"/>
          <w:lang w:eastAsia="es-ES"/>
        </w:rPr>
        <w:t>, Londres.</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Taibo</w:t>
      </w:r>
      <w:proofErr w:type="spellEnd"/>
      <w:r w:rsidRPr="004D4319">
        <w:rPr>
          <w:rFonts w:ascii="Arial" w:eastAsia="Times New Roman" w:hAnsi="Arial" w:cs="Arial"/>
          <w:sz w:val="24"/>
          <w:szCs w:val="24"/>
          <w:lang w:eastAsia="es-ES"/>
        </w:rPr>
        <w:t xml:space="preserve">, C. (2002), “Los movimientos de resistencia frente a la globalización neoliberal” en </w:t>
      </w:r>
      <w:proofErr w:type="spellStart"/>
      <w:r w:rsidRPr="004D4319">
        <w:rPr>
          <w:rFonts w:ascii="Arial" w:eastAsia="Times New Roman" w:hAnsi="Arial" w:cs="Arial"/>
          <w:sz w:val="24"/>
          <w:szCs w:val="24"/>
          <w:lang w:eastAsia="es-ES"/>
        </w:rPr>
        <w:t>Taibo</w:t>
      </w:r>
      <w:proofErr w:type="spellEnd"/>
      <w:r w:rsidRPr="004D4319">
        <w:rPr>
          <w:rFonts w:ascii="Arial" w:eastAsia="Times New Roman" w:hAnsi="Arial" w:cs="Arial"/>
          <w:sz w:val="24"/>
          <w:szCs w:val="24"/>
          <w:lang w:eastAsia="es-ES"/>
        </w:rPr>
        <w:t>, C. y Tamayo, J. (</w:t>
      </w:r>
      <w:proofErr w:type="spellStart"/>
      <w:r w:rsidRPr="004D4319">
        <w:rPr>
          <w:rFonts w:ascii="Arial" w:eastAsia="Times New Roman" w:hAnsi="Arial" w:cs="Arial"/>
          <w:sz w:val="24"/>
          <w:szCs w:val="24"/>
          <w:lang w:eastAsia="es-ES"/>
        </w:rPr>
        <w:t>dir.</w:t>
      </w:r>
      <w:proofErr w:type="spellEnd"/>
      <w:r w:rsidRPr="004D4319">
        <w:rPr>
          <w:rFonts w:ascii="Arial" w:eastAsia="Times New Roman" w:hAnsi="Arial" w:cs="Arial"/>
          <w:sz w:val="24"/>
          <w:szCs w:val="24"/>
          <w:lang w:eastAsia="es-ES"/>
        </w:rPr>
        <w:t>), 10 palabras clave sobre globalización, Editorial Verbo Divino, Navarra.</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Tezanos</w:t>
      </w:r>
      <w:proofErr w:type="spellEnd"/>
      <w:r w:rsidRPr="004D4319">
        <w:rPr>
          <w:rFonts w:ascii="Arial" w:eastAsia="Times New Roman" w:hAnsi="Arial" w:cs="Arial"/>
          <w:sz w:val="24"/>
          <w:szCs w:val="24"/>
          <w:lang w:eastAsia="es-ES"/>
        </w:rPr>
        <w:t xml:space="preserve">, J. F. (1987), “La democratización del trabajo en los umbrales de la sociedad post-industrial” en </w:t>
      </w:r>
      <w:proofErr w:type="spellStart"/>
      <w:r w:rsidRPr="004D4319">
        <w:rPr>
          <w:rFonts w:ascii="Arial" w:eastAsia="Times New Roman" w:hAnsi="Arial" w:cs="Arial"/>
          <w:sz w:val="24"/>
          <w:szCs w:val="24"/>
          <w:lang w:eastAsia="es-ES"/>
        </w:rPr>
        <w:t>Tezanos</w:t>
      </w:r>
      <w:proofErr w:type="spellEnd"/>
      <w:r w:rsidRPr="004D4319">
        <w:rPr>
          <w:rFonts w:ascii="Arial" w:eastAsia="Times New Roman" w:hAnsi="Arial" w:cs="Arial"/>
          <w:sz w:val="24"/>
          <w:szCs w:val="24"/>
          <w:lang w:eastAsia="es-ES"/>
        </w:rPr>
        <w:t>, J. F., La democratización del trabajo, Sistema, Madrid.</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Tilly</w:t>
      </w:r>
      <w:proofErr w:type="spellEnd"/>
      <w:r w:rsidRPr="004D4319">
        <w:rPr>
          <w:rFonts w:ascii="Arial" w:eastAsia="Times New Roman" w:hAnsi="Arial" w:cs="Arial"/>
          <w:sz w:val="24"/>
          <w:szCs w:val="24"/>
          <w:lang w:eastAsia="es-ES"/>
        </w:rPr>
        <w:t xml:space="preserve">, C. (1981), </w:t>
      </w:r>
      <w:proofErr w:type="spellStart"/>
      <w:r w:rsidRPr="004D4319">
        <w:rPr>
          <w:rFonts w:ascii="Arial" w:eastAsia="Times New Roman" w:hAnsi="Arial" w:cs="Arial"/>
          <w:sz w:val="24"/>
          <w:szCs w:val="24"/>
          <w:lang w:eastAsia="es-ES"/>
        </w:rPr>
        <w:t>Class</w:t>
      </w:r>
      <w:proofErr w:type="spellEnd"/>
      <w:r w:rsidRPr="004D4319">
        <w:rPr>
          <w:rFonts w:ascii="Arial" w:eastAsia="Times New Roman" w:hAnsi="Arial" w:cs="Arial"/>
          <w:sz w:val="24"/>
          <w:szCs w:val="24"/>
          <w:lang w:eastAsia="es-ES"/>
        </w:rPr>
        <w:t xml:space="preserve"> and </w:t>
      </w:r>
      <w:proofErr w:type="spellStart"/>
      <w:r w:rsidRPr="004D4319">
        <w:rPr>
          <w:rFonts w:ascii="Arial" w:eastAsia="Times New Roman" w:hAnsi="Arial" w:cs="Arial"/>
          <w:sz w:val="24"/>
          <w:szCs w:val="24"/>
          <w:lang w:eastAsia="es-ES"/>
        </w:rPr>
        <w:t>Collective</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Action</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Sage</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Publications</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Beverley</w:t>
      </w:r>
      <w:proofErr w:type="spellEnd"/>
      <w:r w:rsidRPr="004D4319">
        <w:rPr>
          <w:rFonts w:ascii="Arial" w:eastAsia="Times New Roman" w:hAnsi="Arial" w:cs="Arial"/>
          <w:sz w:val="24"/>
          <w:szCs w:val="24"/>
          <w:lang w:eastAsia="es-ES"/>
        </w:rPr>
        <w:t xml:space="preserve"> Hill.</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Touraine</w:t>
      </w:r>
      <w:proofErr w:type="spellEnd"/>
      <w:r w:rsidRPr="004D4319">
        <w:rPr>
          <w:rFonts w:ascii="Arial" w:eastAsia="Times New Roman" w:hAnsi="Arial" w:cs="Arial"/>
          <w:sz w:val="24"/>
          <w:szCs w:val="24"/>
          <w:lang w:eastAsia="es-ES"/>
        </w:rPr>
        <w:t>, A. (2005), Un nuevo paradigma. Para comprender el mundo de hoy, Paidós, Madrid.</w:t>
      </w:r>
    </w:p>
    <w:p w:rsidR="00EE48C9" w:rsidRPr="004D4319" w:rsidRDefault="00EE48C9" w:rsidP="00914D4D">
      <w:pPr>
        <w:spacing w:after="0" w:line="240" w:lineRule="auto"/>
        <w:jc w:val="both"/>
        <w:rPr>
          <w:rFonts w:ascii="Arial" w:eastAsia="Times New Roman" w:hAnsi="Arial" w:cs="Arial"/>
          <w:sz w:val="24"/>
          <w:szCs w:val="24"/>
          <w:lang w:eastAsia="es-ES"/>
        </w:rPr>
      </w:pPr>
      <w:r w:rsidRPr="004D4319">
        <w:rPr>
          <w:rFonts w:ascii="Arial" w:eastAsia="Times New Roman" w:hAnsi="Arial" w:cs="Arial"/>
          <w:sz w:val="24"/>
          <w:szCs w:val="24"/>
          <w:lang w:eastAsia="es-ES"/>
        </w:rPr>
        <w:t xml:space="preserve">Venegas, E. (2003), “Movimientos sociales y nuevas estrategias de poder civil en la Era de la globalización” en Alguacil, J., Ciudadanía, ciudadanos y democracia participativa, Fundación César Manrique, Lanzarote. </w:t>
      </w:r>
    </w:p>
    <w:p w:rsidR="00EE48C9" w:rsidRPr="004D4319" w:rsidRDefault="00EE48C9" w:rsidP="00914D4D">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Vicens</w:t>
      </w:r>
      <w:proofErr w:type="spellEnd"/>
      <w:r w:rsidRPr="004D4319">
        <w:rPr>
          <w:rFonts w:ascii="Arial" w:eastAsia="Times New Roman" w:hAnsi="Arial" w:cs="Arial"/>
          <w:sz w:val="24"/>
          <w:szCs w:val="24"/>
          <w:lang w:eastAsia="es-ES"/>
        </w:rPr>
        <w:t>, J. (1995), El valor de la salud. Una reflexión sociológica sobre la calidad de vida, Siglo XXI, Madrid.</w:t>
      </w:r>
    </w:p>
    <w:p w:rsidR="00EE48C9" w:rsidRDefault="00EE48C9" w:rsidP="007C6D93">
      <w:pPr>
        <w:spacing w:after="0" w:line="240" w:lineRule="auto"/>
        <w:jc w:val="both"/>
        <w:rPr>
          <w:rFonts w:ascii="Arial" w:eastAsia="Times New Roman" w:hAnsi="Arial" w:cs="Arial"/>
          <w:sz w:val="24"/>
          <w:szCs w:val="24"/>
          <w:lang w:eastAsia="es-ES"/>
        </w:rPr>
      </w:pPr>
      <w:proofErr w:type="spellStart"/>
      <w:r w:rsidRPr="004D4319">
        <w:rPr>
          <w:rFonts w:ascii="Arial" w:eastAsia="Times New Roman" w:hAnsi="Arial" w:cs="Arial"/>
          <w:sz w:val="24"/>
          <w:szCs w:val="24"/>
          <w:lang w:eastAsia="es-ES"/>
        </w:rPr>
        <w:t>Wallerstein</w:t>
      </w:r>
      <w:proofErr w:type="spellEnd"/>
      <w:r w:rsidRPr="004D4319">
        <w:rPr>
          <w:rFonts w:ascii="Arial" w:eastAsia="Times New Roman" w:hAnsi="Arial" w:cs="Arial"/>
          <w:sz w:val="24"/>
          <w:szCs w:val="24"/>
          <w:lang w:eastAsia="es-ES"/>
        </w:rPr>
        <w:t xml:space="preserve">, I. (2005), “O que significa </w:t>
      </w:r>
      <w:proofErr w:type="spellStart"/>
      <w:r w:rsidRPr="004D4319">
        <w:rPr>
          <w:rFonts w:ascii="Arial" w:eastAsia="Times New Roman" w:hAnsi="Arial" w:cs="Arial"/>
          <w:sz w:val="24"/>
          <w:szCs w:val="24"/>
          <w:lang w:eastAsia="es-ES"/>
        </w:rPr>
        <w:t>hoje</w:t>
      </w:r>
      <w:proofErr w:type="spellEnd"/>
      <w:r w:rsidRPr="004D4319">
        <w:rPr>
          <w:rFonts w:ascii="Arial" w:eastAsia="Times New Roman" w:hAnsi="Arial" w:cs="Arial"/>
          <w:sz w:val="24"/>
          <w:szCs w:val="24"/>
          <w:lang w:eastAsia="es-ES"/>
        </w:rPr>
        <w:t xml:space="preserve"> ser </w:t>
      </w:r>
      <w:proofErr w:type="spellStart"/>
      <w:r w:rsidRPr="004D4319">
        <w:rPr>
          <w:rFonts w:ascii="Arial" w:eastAsia="Times New Roman" w:hAnsi="Arial" w:cs="Arial"/>
          <w:sz w:val="24"/>
          <w:szCs w:val="24"/>
          <w:lang w:eastAsia="es-ES"/>
        </w:rPr>
        <w:t>um</w:t>
      </w:r>
      <w:proofErr w:type="spellEnd"/>
      <w:r w:rsidRPr="004D4319">
        <w:rPr>
          <w:rFonts w:ascii="Arial" w:eastAsia="Times New Roman" w:hAnsi="Arial" w:cs="Arial"/>
          <w:sz w:val="24"/>
          <w:szCs w:val="24"/>
          <w:lang w:eastAsia="es-ES"/>
        </w:rPr>
        <w:t xml:space="preserve"> </w:t>
      </w:r>
      <w:proofErr w:type="spellStart"/>
      <w:r w:rsidRPr="004D4319">
        <w:rPr>
          <w:rFonts w:ascii="Arial" w:eastAsia="Times New Roman" w:hAnsi="Arial" w:cs="Arial"/>
          <w:sz w:val="24"/>
          <w:szCs w:val="24"/>
          <w:lang w:eastAsia="es-ES"/>
        </w:rPr>
        <w:t>movimento</w:t>
      </w:r>
      <w:proofErr w:type="spellEnd"/>
      <w:r w:rsidRPr="004D4319">
        <w:rPr>
          <w:rFonts w:ascii="Arial" w:eastAsia="Times New Roman" w:hAnsi="Arial" w:cs="Arial"/>
          <w:sz w:val="24"/>
          <w:szCs w:val="24"/>
          <w:lang w:eastAsia="es-ES"/>
        </w:rPr>
        <w:t xml:space="preserve"> anti-</w:t>
      </w:r>
      <w:proofErr w:type="spellStart"/>
      <w:r w:rsidRPr="004D4319">
        <w:rPr>
          <w:rFonts w:ascii="Arial" w:eastAsia="Times New Roman" w:hAnsi="Arial" w:cs="Arial"/>
          <w:sz w:val="24"/>
          <w:szCs w:val="24"/>
          <w:lang w:eastAsia="es-ES"/>
        </w:rPr>
        <w:t>sistêmico</w:t>
      </w:r>
      <w:proofErr w:type="spellEnd"/>
      <w:r w:rsidRPr="004D4319">
        <w:rPr>
          <w:rFonts w:ascii="Arial" w:eastAsia="Times New Roman" w:hAnsi="Arial" w:cs="Arial"/>
          <w:sz w:val="24"/>
          <w:szCs w:val="24"/>
          <w:lang w:eastAsia="es-ES"/>
        </w:rPr>
        <w:t xml:space="preserve">?” en </w:t>
      </w:r>
      <w:proofErr w:type="spellStart"/>
      <w:r w:rsidRPr="004D4319">
        <w:rPr>
          <w:rFonts w:ascii="Arial" w:eastAsia="Times New Roman" w:hAnsi="Arial" w:cs="Arial"/>
          <w:sz w:val="24"/>
          <w:szCs w:val="24"/>
          <w:lang w:eastAsia="es-ES"/>
        </w:rPr>
        <w:t>Leher</w:t>
      </w:r>
      <w:proofErr w:type="spellEnd"/>
      <w:r w:rsidRPr="004D4319">
        <w:rPr>
          <w:rFonts w:ascii="Arial" w:eastAsia="Times New Roman" w:hAnsi="Arial" w:cs="Arial"/>
          <w:sz w:val="24"/>
          <w:szCs w:val="24"/>
          <w:lang w:eastAsia="es-ES"/>
        </w:rPr>
        <w:t xml:space="preserve">, R.; Setúbal, M. (organizadores), </w:t>
      </w:r>
      <w:proofErr w:type="spellStart"/>
      <w:r w:rsidRPr="004D4319">
        <w:rPr>
          <w:rFonts w:ascii="Arial" w:eastAsia="Times New Roman" w:hAnsi="Arial" w:cs="Arial"/>
          <w:sz w:val="24"/>
          <w:szCs w:val="24"/>
          <w:lang w:eastAsia="es-ES"/>
        </w:rPr>
        <w:t>Pensamento</w:t>
      </w:r>
      <w:proofErr w:type="spellEnd"/>
      <w:r w:rsidRPr="004D4319">
        <w:rPr>
          <w:rFonts w:ascii="Arial" w:eastAsia="Times New Roman" w:hAnsi="Arial" w:cs="Arial"/>
          <w:sz w:val="24"/>
          <w:szCs w:val="24"/>
          <w:lang w:eastAsia="es-ES"/>
        </w:rPr>
        <w:t xml:space="preserve"> crítico e movimientos </w:t>
      </w:r>
      <w:proofErr w:type="spellStart"/>
      <w:r w:rsidRPr="004D4319">
        <w:rPr>
          <w:rFonts w:ascii="Arial" w:eastAsia="Times New Roman" w:hAnsi="Arial" w:cs="Arial"/>
          <w:sz w:val="24"/>
          <w:szCs w:val="24"/>
          <w:lang w:eastAsia="es-ES"/>
        </w:rPr>
        <w:t>sociais</w:t>
      </w:r>
      <w:proofErr w:type="spellEnd"/>
      <w:r w:rsidRPr="004D4319">
        <w:rPr>
          <w:rFonts w:ascii="Arial" w:eastAsia="Times New Roman" w:hAnsi="Arial" w:cs="Arial"/>
          <w:sz w:val="24"/>
          <w:szCs w:val="24"/>
          <w:lang w:eastAsia="es-ES"/>
        </w:rPr>
        <w:t>. Cortez editora, São Paulo.</w:t>
      </w:r>
    </w:p>
    <w:p w:rsidR="007C6D93" w:rsidRPr="007C6D93" w:rsidRDefault="007C6D93" w:rsidP="007C6D93">
      <w:pPr>
        <w:spacing w:after="0" w:line="240" w:lineRule="auto"/>
        <w:jc w:val="both"/>
        <w:rPr>
          <w:rFonts w:ascii="Arial" w:eastAsia="Times New Roman" w:hAnsi="Arial" w:cs="Arial"/>
          <w:sz w:val="24"/>
          <w:szCs w:val="24"/>
          <w:lang w:eastAsia="es-ES"/>
        </w:rPr>
      </w:pPr>
      <w:bookmarkStart w:id="0" w:name="_GoBack"/>
      <w:bookmarkEnd w:id="0"/>
    </w:p>
    <w:p w:rsidR="00E62425" w:rsidRPr="004D4319" w:rsidRDefault="007C6D93" w:rsidP="004D4319">
      <w:pPr>
        <w:jc w:val="both"/>
        <w:rPr>
          <w:rFonts w:ascii="Arial" w:hAnsi="Arial" w:cs="Arial"/>
          <w:sz w:val="24"/>
          <w:szCs w:val="24"/>
        </w:rPr>
      </w:pPr>
      <w:hyperlink r:id="rId10" w:history="1">
        <w:r w:rsidR="00EE48C9" w:rsidRPr="004D4319">
          <w:rPr>
            <w:rStyle w:val="Hipervnculo"/>
            <w:rFonts w:ascii="Arial" w:hAnsi="Arial" w:cs="Arial"/>
            <w:sz w:val="24"/>
            <w:szCs w:val="24"/>
          </w:rPr>
          <w:t>https://journals.openedition.org/polis/4554</w:t>
        </w:r>
      </w:hyperlink>
      <w:r w:rsidR="00EE48C9" w:rsidRPr="004D4319">
        <w:rPr>
          <w:rFonts w:ascii="Arial" w:hAnsi="Arial" w:cs="Arial"/>
          <w:sz w:val="24"/>
          <w:szCs w:val="24"/>
        </w:rPr>
        <w:t xml:space="preserve"> </w:t>
      </w:r>
    </w:p>
    <w:sectPr w:rsidR="00E62425" w:rsidRPr="004D4319"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801F5"/>
    <w:multiLevelType w:val="multilevel"/>
    <w:tmpl w:val="8412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C7BB4"/>
    <w:multiLevelType w:val="multilevel"/>
    <w:tmpl w:val="D54E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7B799F"/>
    <w:multiLevelType w:val="multilevel"/>
    <w:tmpl w:val="250A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9006E7"/>
    <w:multiLevelType w:val="multilevel"/>
    <w:tmpl w:val="F5C6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057F52"/>
    <w:multiLevelType w:val="multilevel"/>
    <w:tmpl w:val="6CDA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FB6274"/>
    <w:multiLevelType w:val="multilevel"/>
    <w:tmpl w:val="6E0E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555A9E"/>
    <w:multiLevelType w:val="multilevel"/>
    <w:tmpl w:val="4AEC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007984"/>
    <w:multiLevelType w:val="multilevel"/>
    <w:tmpl w:val="08DC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1F616E"/>
    <w:multiLevelType w:val="multilevel"/>
    <w:tmpl w:val="1022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214515"/>
    <w:multiLevelType w:val="multilevel"/>
    <w:tmpl w:val="D812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B05BE3"/>
    <w:multiLevelType w:val="multilevel"/>
    <w:tmpl w:val="AF50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7F77F2"/>
    <w:multiLevelType w:val="multilevel"/>
    <w:tmpl w:val="8378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4940E8"/>
    <w:multiLevelType w:val="multilevel"/>
    <w:tmpl w:val="8B9C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E6453F"/>
    <w:multiLevelType w:val="multilevel"/>
    <w:tmpl w:val="AC24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2A52FE"/>
    <w:multiLevelType w:val="multilevel"/>
    <w:tmpl w:val="58AE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4D5DF0"/>
    <w:multiLevelType w:val="multilevel"/>
    <w:tmpl w:val="33780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543ED5"/>
    <w:multiLevelType w:val="multilevel"/>
    <w:tmpl w:val="89FE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655FB0"/>
    <w:multiLevelType w:val="multilevel"/>
    <w:tmpl w:val="6BFC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A631BA"/>
    <w:multiLevelType w:val="multilevel"/>
    <w:tmpl w:val="EC08B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E90EC3"/>
    <w:multiLevelType w:val="multilevel"/>
    <w:tmpl w:val="F81CF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BC651F"/>
    <w:multiLevelType w:val="multilevel"/>
    <w:tmpl w:val="2FD4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C5095D"/>
    <w:multiLevelType w:val="multilevel"/>
    <w:tmpl w:val="CE80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395CBD"/>
    <w:multiLevelType w:val="multilevel"/>
    <w:tmpl w:val="F5EC2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9103FED"/>
    <w:multiLevelType w:val="multilevel"/>
    <w:tmpl w:val="63949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1A2B60"/>
    <w:multiLevelType w:val="multilevel"/>
    <w:tmpl w:val="5D420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834E1E"/>
    <w:multiLevelType w:val="multilevel"/>
    <w:tmpl w:val="480C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2B6481"/>
    <w:multiLevelType w:val="multilevel"/>
    <w:tmpl w:val="0ECAC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3A3B80"/>
    <w:multiLevelType w:val="multilevel"/>
    <w:tmpl w:val="9D5C4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3"/>
  </w:num>
  <w:num w:numId="3">
    <w:abstractNumId w:val="8"/>
  </w:num>
  <w:num w:numId="4">
    <w:abstractNumId w:val="19"/>
  </w:num>
  <w:num w:numId="5">
    <w:abstractNumId w:val="23"/>
  </w:num>
  <w:num w:numId="6">
    <w:abstractNumId w:val="26"/>
  </w:num>
  <w:num w:numId="7">
    <w:abstractNumId w:val="6"/>
  </w:num>
  <w:num w:numId="8">
    <w:abstractNumId w:val="0"/>
  </w:num>
  <w:num w:numId="9">
    <w:abstractNumId w:val="9"/>
  </w:num>
  <w:num w:numId="10">
    <w:abstractNumId w:val="7"/>
  </w:num>
  <w:num w:numId="11">
    <w:abstractNumId w:val="1"/>
  </w:num>
  <w:num w:numId="12">
    <w:abstractNumId w:val="2"/>
  </w:num>
  <w:num w:numId="13">
    <w:abstractNumId w:val="12"/>
  </w:num>
  <w:num w:numId="14">
    <w:abstractNumId w:val="16"/>
  </w:num>
  <w:num w:numId="15">
    <w:abstractNumId w:val="4"/>
  </w:num>
  <w:num w:numId="16">
    <w:abstractNumId w:val="14"/>
  </w:num>
  <w:num w:numId="17">
    <w:abstractNumId w:val="11"/>
  </w:num>
  <w:num w:numId="18">
    <w:abstractNumId w:val="5"/>
  </w:num>
  <w:num w:numId="19">
    <w:abstractNumId w:val="22"/>
  </w:num>
  <w:num w:numId="20">
    <w:abstractNumId w:val="17"/>
  </w:num>
  <w:num w:numId="21">
    <w:abstractNumId w:val="20"/>
  </w:num>
  <w:num w:numId="22">
    <w:abstractNumId w:val="13"/>
  </w:num>
  <w:num w:numId="23">
    <w:abstractNumId w:val="25"/>
  </w:num>
  <w:num w:numId="24">
    <w:abstractNumId w:val="27"/>
  </w:num>
  <w:num w:numId="25">
    <w:abstractNumId w:val="18"/>
  </w:num>
  <w:num w:numId="26">
    <w:abstractNumId w:val="15"/>
  </w:num>
  <w:num w:numId="27">
    <w:abstractNumId w:val="1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1BE"/>
    <w:rsid w:val="00013B07"/>
    <w:rsid w:val="000268D2"/>
    <w:rsid w:val="00031AFD"/>
    <w:rsid w:val="000639C9"/>
    <w:rsid w:val="00083AE3"/>
    <w:rsid w:val="00093A46"/>
    <w:rsid w:val="00094474"/>
    <w:rsid w:val="000951BC"/>
    <w:rsid w:val="000A2387"/>
    <w:rsid w:val="000C6E9B"/>
    <w:rsid w:val="000E4736"/>
    <w:rsid w:val="000F7EBF"/>
    <w:rsid w:val="00105F3D"/>
    <w:rsid w:val="00115A4C"/>
    <w:rsid w:val="00122106"/>
    <w:rsid w:val="00131880"/>
    <w:rsid w:val="00131DA3"/>
    <w:rsid w:val="00134E12"/>
    <w:rsid w:val="00135367"/>
    <w:rsid w:val="00167BBA"/>
    <w:rsid w:val="00190D48"/>
    <w:rsid w:val="001A49F4"/>
    <w:rsid w:val="00225CA5"/>
    <w:rsid w:val="00247115"/>
    <w:rsid w:val="002560A0"/>
    <w:rsid w:val="0025693D"/>
    <w:rsid w:val="0028175F"/>
    <w:rsid w:val="00284166"/>
    <w:rsid w:val="002A0329"/>
    <w:rsid w:val="002A64E3"/>
    <w:rsid w:val="002C4C4F"/>
    <w:rsid w:val="002F2D77"/>
    <w:rsid w:val="003126BA"/>
    <w:rsid w:val="00340ABD"/>
    <w:rsid w:val="00340F7C"/>
    <w:rsid w:val="003478A2"/>
    <w:rsid w:val="00370E29"/>
    <w:rsid w:val="00370F7B"/>
    <w:rsid w:val="003F5739"/>
    <w:rsid w:val="00422D4C"/>
    <w:rsid w:val="00423102"/>
    <w:rsid w:val="00423344"/>
    <w:rsid w:val="00424C68"/>
    <w:rsid w:val="004322B7"/>
    <w:rsid w:val="00434FB3"/>
    <w:rsid w:val="0043706C"/>
    <w:rsid w:val="00450CBC"/>
    <w:rsid w:val="00482F71"/>
    <w:rsid w:val="004B104E"/>
    <w:rsid w:val="004B6494"/>
    <w:rsid w:val="004D4319"/>
    <w:rsid w:val="004E47A6"/>
    <w:rsid w:val="004E6983"/>
    <w:rsid w:val="004F1CB7"/>
    <w:rsid w:val="00507DEF"/>
    <w:rsid w:val="0053442A"/>
    <w:rsid w:val="005564F3"/>
    <w:rsid w:val="00566EBA"/>
    <w:rsid w:val="005C2ECC"/>
    <w:rsid w:val="005E2D8B"/>
    <w:rsid w:val="00616715"/>
    <w:rsid w:val="00621FBF"/>
    <w:rsid w:val="00632BAE"/>
    <w:rsid w:val="00633111"/>
    <w:rsid w:val="006406E0"/>
    <w:rsid w:val="00687C16"/>
    <w:rsid w:val="0069189F"/>
    <w:rsid w:val="006C0876"/>
    <w:rsid w:val="006C0ECD"/>
    <w:rsid w:val="006D134B"/>
    <w:rsid w:val="006D221F"/>
    <w:rsid w:val="006D42DC"/>
    <w:rsid w:val="006D4824"/>
    <w:rsid w:val="006F18E3"/>
    <w:rsid w:val="00700A35"/>
    <w:rsid w:val="00714005"/>
    <w:rsid w:val="00715636"/>
    <w:rsid w:val="00774DCF"/>
    <w:rsid w:val="007A349F"/>
    <w:rsid w:val="007A4828"/>
    <w:rsid w:val="007B09EB"/>
    <w:rsid w:val="007C6D93"/>
    <w:rsid w:val="007C72C5"/>
    <w:rsid w:val="007E0E34"/>
    <w:rsid w:val="008007B8"/>
    <w:rsid w:val="008055BF"/>
    <w:rsid w:val="00807083"/>
    <w:rsid w:val="008746D3"/>
    <w:rsid w:val="00880CCB"/>
    <w:rsid w:val="00883C03"/>
    <w:rsid w:val="008A44F6"/>
    <w:rsid w:val="008D3D5F"/>
    <w:rsid w:val="008E5FD5"/>
    <w:rsid w:val="009019CA"/>
    <w:rsid w:val="00904767"/>
    <w:rsid w:val="00910C9F"/>
    <w:rsid w:val="009141C0"/>
    <w:rsid w:val="00914D4D"/>
    <w:rsid w:val="00917208"/>
    <w:rsid w:val="00923CA3"/>
    <w:rsid w:val="00925147"/>
    <w:rsid w:val="00936B29"/>
    <w:rsid w:val="00942A3C"/>
    <w:rsid w:val="00952738"/>
    <w:rsid w:val="00960B45"/>
    <w:rsid w:val="009801BE"/>
    <w:rsid w:val="009A4889"/>
    <w:rsid w:val="009A754E"/>
    <w:rsid w:val="009B5EDF"/>
    <w:rsid w:val="009C5745"/>
    <w:rsid w:val="009D0D62"/>
    <w:rsid w:val="009D474D"/>
    <w:rsid w:val="009F3200"/>
    <w:rsid w:val="009F354F"/>
    <w:rsid w:val="00A12D6E"/>
    <w:rsid w:val="00A13DC0"/>
    <w:rsid w:val="00A30C2F"/>
    <w:rsid w:val="00A75235"/>
    <w:rsid w:val="00A76049"/>
    <w:rsid w:val="00A96F92"/>
    <w:rsid w:val="00AA1016"/>
    <w:rsid w:val="00AA6D21"/>
    <w:rsid w:val="00AB39A4"/>
    <w:rsid w:val="00AC039A"/>
    <w:rsid w:val="00AD7A1F"/>
    <w:rsid w:val="00AE321C"/>
    <w:rsid w:val="00B12F97"/>
    <w:rsid w:val="00B16B18"/>
    <w:rsid w:val="00B173A9"/>
    <w:rsid w:val="00B20DD1"/>
    <w:rsid w:val="00B35B4D"/>
    <w:rsid w:val="00B40535"/>
    <w:rsid w:val="00B71CEB"/>
    <w:rsid w:val="00BA5703"/>
    <w:rsid w:val="00C004C4"/>
    <w:rsid w:val="00C02D70"/>
    <w:rsid w:val="00C13FD6"/>
    <w:rsid w:val="00C55BA4"/>
    <w:rsid w:val="00CD0D4C"/>
    <w:rsid w:val="00CD31E1"/>
    <w:rsid w:val="00D00CF0"/>
    <w:rsid w:val="00D13E55"/>
    <w:rsid w:val="00D317B6"/>
    <w:rsid w:val="00D32D7A"/>
    <w:rsid w:val="00D41101"/>
    <w:rsid w:val="00D7595F"/>
    <w:rsid w:val="00D82027"/>
    <w:rsid w:val="00DA775D"/>
    <w:rsid w:val="00DD2E5E"/>
    <w:rsid w:val="00DD3F94"/>
    <w:rsid w:val="00DD6877"/>
    <w:rsid w:val="00DE1A6D"/>
    <w:rsid w:val="00DF7F25"/>
    <w:rsid w:val="00E01AB4"/>
    <w:rsid w:val="00E1366A"/>
    <w:rsid w:val="00E14EB7"/>
    <w:rsid w:val="00E160FE"/>
    <w:rsid w:val="00E459A3"/>
    <w:rsid w:val="00E62425"/>
    <w:rsid w:val="00E722DB"/>
    <w:rsid w:val="00E82FE0"/>
    <w:rsid w:val="00E9061E"/>
    <w:rsid w:val="00EA3BC0"/>
    <w:rsid w:val="00EA5667"/>
    <w:rsid w:val="00EB5932"/>
    <w:rsid w:val="00EE48C9"/>
    <w:rsid w:val="00EE7876"/>
    <w:rsid w:val="00F12A84"/>
    <w:rsid w:val="00F2494E"/>
    <w:rsid w:val="00F372BE"/>
    <w:rsid w:val="00F552DE"/>
    <w:rsid w:val="00F76C2B"/>
    <w:rsid w:val="00FA427F"/>
    <w:rsid w:val="00FD6FF3"/>
    <w:rsid w:val="00FE5D74"/>
    <w:rsid w:val="00FF732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A74F89-266E-4264-BE7A-7EDD8237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EE48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EE48C9"/>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EE48C9"/>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link w:val="Ttulo4Car"/>
    <w:uiPriority w:val="9"/>
    <w:qFormat/>
    <w:rsid w:val="00EE48C9"/>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48C9"/>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EE48C9"/>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EE48C9"/>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rsid w:val="00EE48C9"/>
    <w:rPr>
      <w:rFonts w:ascii="Times New Roman" w:eastAsia="Times New Roman" w:hAnsi="Times New Roman" w:cs="Times New Roman"/>
      <w:b/>
      <w:bCs/>
      <w:sz w:val="24"/>
      <w:szCs w:val="24"/>
      <w:lang w:eastAsia="es-ES"/>
    </w:rPr>
  </w:style>
  <w:style w:type="numbering" w:customStyle="1" w:styleId="Sinlista1">
    <w:name w:val="Sin lista1"/>
    <w:next w:val="Sinlista"/>
    <w:uiPriority w:val="99"/>
    <w:semiHidden/>
    <w:unhideWhenUsed/>
    <w:rsid w:val="00EE48C9"/>
  </w:style>
  <w:style w:type="character" w:customStyle="1" w:styleId="Puesto1">
    <w:name w:val="Puesto1"/>
    <w:basedOn w:val="Fuentedeprrafopredeter"/>
    <w:rsid w:val="00EE48C9"/>
  </w:style>
  <w:style w:type="character" w:customStyle="1" w:styleId="text">
    <w:name w:val="text"/>
    <w:basedOn w:val="Fuentedeprrafopredeter"/>
    <w:rsid w:val="00EE48C9"/>
  </w:style>
  <w:style w:type="character" w:styleId="Textoennegrita">
    <w:name w:val="Strong"/>
    <w:basedOn w:val="Fuentedeprrafopredeter"/>
    <w:uiPriority w:val="22"/>
    <w:qFormat/>
    <w:rsid w:val="00EE48C9"/>
    <w:rPr>
      <w:b/>
      <w:bCs/>
    </w:rPr>
  </w:style>
  <w:style w:type="character" w:customStyle="1" w:styleId="familyname">
    <w:name w:val="familyname"/>
    <w:basedOn w:val="Fuentedeprrafopredeter"/>
    <w:rsid w:val="00EE48C9"/>
  </w:style>
  <w:style w:type="character" w:styleId="Hipervnculo">
    <w:name w:val="Hyperlink"/>
    <w:basedOn w:val="Fuentedeprrafopredeter"/>
    <w:uiPriority w:val="99"/>
    <w:unhideWhenUsed/>
    <w:rsid w:val="00EE48C9"/>
    <w:rPr>
      <w:color w:val="0000FF"/>
      <w:u w:val="single"/>
    </w:rPr>
  </w:style>
  <w:style w:type="character" w:styleId="Hipervnculovisitado">
    <w:name w:val="FollowedHyperlink"/>
    <w:basedOn w:val="Fuentedeprrafopredeter"/>
    <w:uiPriority w:val="99"/>
    <w:semiHidden/>
    <w:unhideWhenUsed/>
    <w:rsid w:val="00EE48C9"/>
    <w:rPr>
      <w:color w:val="800080"/>
      <w:u w:val="single"/>
    </w:rPr>
  </w:style>
  <w:style w:type="paragraph" w:customStyle="1" w:styleId="resumen">
    <w:name w:val="resumen"/>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resume">
    <w:name w:val="resume"/>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abstract">
    <w:name w:val="abstract"/>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directionltr">
    <w:name w:val="directionltr"/>
    <w:basedOn w:val="Fuentedeprrafopredeter"/>
    <w:rsid w:val="00EE48C9"/>
  </w:style>
  <w:style w:type="paragraph" w:customStyle="1" w:styleId="ndlr">
    <w:name w:val="ndlr"/>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fileinfo">
    <w:name w:val="fileinfo"/>
    <w:basedOn w:val="Fuentedeprrafopredeter"/>
    <w:rsid w:val="00EE48C9"/>
  </w:style>
  <w:style w:type="paragraph" w:customStyle="1" w:styleId="texte">
    <w:name w:val="texte"/>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paranumber">
    <w:name w:val="paranumber"/>
    <w:basedOn w:val="Fuentedeprrafopredeter"/>
    <w:rsid w:val="00EE48C9"/>
  </w:style>
  <w:style w:type="character" w:customStyle="1" w:styleId="num">
    <w:name w:val="num"/>
    <w:basedOn w:val="Fuentedeprrafopredeter"/>
    <w:rsid w:val="00EE48C9"/>
  </w:style>
  <w:style w:type="character" w:styleId="nfasis">
    <w:name w:val="Emphasis"/>
    <w:basedOn w:val="Fuentedeprrafopredeter"/>
    <w:uiPriority w:val="20"/>
    <w:qFormat/>
    <w:rsid w:val="00EE48C9"/>
    <w:rPr>
      <w:i/>
      <w:iCs/>
    </w:rPr>
  </w:style>
  <w:style w:type="paragraph" w:customStyle="1" w:styleId="legendeillustration">
    <w:name w:val="legendeillustration"/>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aragraphesansretrait">
    <w:name w:val="paragraphesansretrait"/>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bibliographie">
    <w:name w:val="bibliographie"/>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notebaspage">
    <w:name w:val="notebaspage"/>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descriptionauteur">
    <w:name w:val="descriptionauteur"/>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fulltext">
    <w:name w:val="fulltext"/>
    <w:basedOn w:val="Fuentedeprrafopredeter"/>
    <w:rsid w:val="00EE48C9"/>
  </w:style>
  <w:style w:type="paragraph" w:customStyle="1" w:styleId="directionltr1">
    <w:name w:val="directionltr1"/>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separator">
    <w:name w:val="separator"/>
    <w:basedOn w:val="Fuentedeprrafopredeter"/>
    <w:rsid w:val="00EE48C9"/>
  </w:style>
  <w:style w:type="character" w:customStyle="1" w:styleId="number">
    <w:name w:val="number"/>
    <w:basedOn w:val="Fuentedeprrafopredeter"/>
    <w:rsid w:val="00EE48C9"/>
  </w:style>
  <w:style w:type="paragraph" w:customStyle="1" w:styleId="first">
    <w:name w:val="first"/>
    <w:basedOn w:val="Normal"/>
    <w:rsid w:val="00EE48C9"/>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9890">
      <w:bodyDiv w:val="1"/>
      <w:marLeft w:val="0"/>
      <w:marRight w:val="0"/>
      <w:marTop w:val="0"/>
      <w:marBottom w:val="0"/>
      <w:divBdr>
        <w:top w:val="none" w:sz="0" w:space="0" w:color="auto"/>
        <w:left w:val="none" w:sz="0" w:space="0" w:color="auto"/>
        <w:bottom w:val="none" w:sz="0" w:space="0" w:color="auto"/>
        <w:right w:val="none" w:sz="0" w:space="0" w:color="auto"/>
      </w:divBdr>
      <w:divsChild>
        <w:div w:id="1679186819">
          <w:marLeft w:val="0"/>
          <w:marRight w:val="0"/>
          <w:marTop w:val="0"/>
          <w:marBottom w:val="0"/>
          <w:divBdr>
            <w:top w:val="none" w:sz="0" w:space="0" w:color="auto"/>
            <w:left w:val="none" w:sz="0" w:space="0" w:color="auto"/>
            <w:bottom w:val="none" w:sz="0" w:space="0" w:color="auto"/>
            <w:right w:val="none" w:sz="0" w:space="0" w:color="auto"/>
          </w:divBdr>
          <w:divsChild>
            <w:div w:id="506679351">
              <w:marLeft w:val="0"/>
              <w:marRight w:val="0"/>
              <w:marTop w:val="0"/>
              <w:marBottom w:val="0"/>
              <w:divBdr>
                <w:top w:val="none" w:sz="0" w:space="0" w:color="auto"/>
                <w:left w:val="none" w:sz="0" w:space="0" w:color="auto"/>
                <w:bottom w:val="none" w:sz="0" w:space="0" w:color="auto"/>
                <w:right w:val="none" w:sz="0" w:space="0" w:color="auto"/>
              </w:divBdr>
              <w:divsChild>
                <w:div w:id="1230651120">
                  <w:marLeft w:val="0"/>
                  <w:marRight w:val="0"/>
                  <w:marTop w:val="0"/>
                  <w:marBottom w:val="0"/>
                  <w:divBdr>
                    <w:top w:val="none" w:sz="0" w:space="0" w:color="auto"/>
                    <w:left w:val="none" w:sz="0" w:space="0" w:color="auto"/>
                    <w:bottom w:val="none" w:sz="0" w:space="0" w:color="auto"/>
                    <w:right w:val="none" w:sz="0" w:space="0" w:color="auto"/>
                  </w:divBdr>
                  <w:divsChild>
                    <w:div w:id="1465269228">
                      <w:marLeft w:val="0"/>
                      <w:marRight w:val="0"/>
                      <w:marTop w:val="0"/>
                      <w:marBottom w:val="0"/>
                      <w:divBdr>
                        <w:top w:val="none" w:sz="0" w:space="0" w:color="auto"/>
                        <w:left w:val="none" w:sz="0" w:space="0" w:color="auto"/>
                        <w:bottom w:val="none" w:sz="0" w:space="0" w:color="auto"/>
                        <w:right w:val="none" w:sz="0" w:space="0" w:color="auto"/>
                      </w:divBdr>
                      <w:divsChild>
                        <w:div w:id="1172842147">
                          <w:marLeft w:val="0"/>
                          <w:marRight w:val="0"/>
                          <w:marTop w:val="0"/>
                          <w:marBottom w:val="0"/>
                          <w:divBdr>
                            <w:top w:val="none" w:sz="0" w:space="0" w:color="auto"/>
                            <w:left w:val="none" w:sz="0" w:space="0" w:color="auto"/>
                            <w:bottom w:val="none" w:sz="0" w:space="0" w:color="auto"/>
                            <w:right w:val="none" w:sz="0" w:space="0" w:color="auto"/>
                          </w:divBdr>
                        </w:div>
                      </w:divsChild>
                    </w:div>
                    <w:div w:id="1298534255">
                      <w:marLeft w:val="0"/>
                      <w:marRight w:val="0"/>
                      <w:marTop w:val="0"/>
                      <w:marBottom w:val="0"/>
                      <w:divBdr>
                        <w:top w:val="none" w:sz="0" w:space="0" w:color="auto"/>
                        <w:left w:val="none" w:sz="0" w:space="0" w:color="auto"/>
                        <w:bottom w:val="none" w:sz="0" w:space="0" w:color="auto"/>
                        <w:right w:val="none" w:sz="0" w:space="0" w:color="auto"/>
                      </w:divBdr>
                      <w:divsChild>
                        <w:div w:id="1987054044">
                          <w:marLeft w:val="0"/>
                          <w:marRight w:val="0"/>
                          <w:marTop w:val="0"/>
                          <w:marBottom w:val="0"/>
                          <w:divBdr>
                            <w:top w:val="none" w:sz="0" w:space="0" w:color="auto"/>
                            <w:left w:val="none" w:sz="0" w:space="0" w:color="auto"/>
                            <w:bottom w:val="none" w:sz="0" w:space="0" w:color="auto"/>
                            <w:right w:val="none" w:sz="0" w:space="0" w:color="auto"/>
                          </w:divBdr>
                        </w:div>
                        <w:div w:id="935133479">
                          <w:marLeft w:val="0"/>
                          <w:marRight w:val="0"/>
                          <w:marTop w:val="0"/>
                          <w:marBottom w:val="0"/>
                          <w:divBdr>
                            <w:top w:val="none" w:sz="0" w:space="0" w:color="auto"/>
                            <w:left w:val="none" w:sz="0" w:space="0" w:color="auto"/>
                            <w:bottom w:val="none" w:sz="0" w:space="0" w:color="auto"/>
                            <w:right w:val="none" w:sz="0" w:space="0" w:color="auto"/>
                          </w:divBdr>
                        </w:div>
                      </w:divsChild>
                    </w:div>
                    <w:div w:id="698899574">
                      <w:marLeft w:val="0"/>
                      <w:marRight w:val="0"/>
                      <w:marTop w:val="0"/>
                      <w:marBottom w:val="0"/>
                      <w:divBdr>
                        <w:top w:val="none" w:sz="0" w:space="0" w:color="auto"/>
                        <w:left w:val="none" w:sz="0" w:space="0" w:color="auto"/>
                        <w:bottom w:val="none" w:sz="0" w:space="0" w:color="auto"/>
                        <w:right w:val="none" w:sz="0" w:space="0" w:color="auto"/>
                      </w:divBdr>
                      <w:divsChild>
                        <w:div w:id="66174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0385">
                  <w:marLeft w:val="0"/>
                  <w:marRight w:val="0"/>
                  <w:marTop w:val="0"/>
                  <w:marBottom w:val="0"/>
                  <w:divBdr>
                    <w:top w:val="none" w:sz="0" w:space="0" w:color="auto"/>
                    <w:left w:val="none" w:sz="0" w:space="0" w:color="auto"/>
                    <w:bottom w:val="none" w:sz="0" w:space="0" w:color="auto"/>
                    <w:right w:val="none" w:sz="0" w:space="0" w:color="auto"/>
                  </w:divBdr>
                  <w:divsChild>
                    <w:div w:id="163975383">
                      <w:marLeft w:val="0"/>
                      <w:marRight w:val="0"/>
                      <w:marTop w:val="0"/>
                      <w:marBottom w:val="0"/>
                      <w:divBdr>
                        <w:top w:val="none" w:sz="0" w:space="0" w:color="auto"/>
                        <w:left w:val="none" w:sz="0" w:space="0" w:color="auto"/>
                        <w:bottom w:val="none" w:sz="0" w:space="0" w:color="auto"/>
                        <w:right w:val="none" w:sz="0" w:space="0" w:color="auto"/>
                      </w:divBdr>
                    </w:div>
                    <w:div w:id="1908493267">
                      <w:marLeft w:val="0"/>
                      <w:marRight w:val="0"/>
                      <w:marTop w:val="0"/>
                      <w:marBottom w:val="0"/>
                      <w:divBdr>
                        <w:top w:val="none" w:sz="0" w:space="0" w:color="auto"/>
                        <w:left w:val="none" w:sz="0" w:space="0" w:color="auto"/>
                        <w:bottom w:val="none" w:sz="0" w:space="0" w:color="auto"/>
                        <w:right w:val="none" w:sz="0" w:space="0" w:color="auto"/>
                      </w:divBdr>
                      <w:divsChild>
                        <w:div w:id="512499626">
                          <w:marLeft w:val="0"/>
                          <w:marRight w:val="0"/>
                          <w:marTop w:val="0"/>
                          <w:marBottom w:val="0"/>
                          <w:divBdr>
                            <w:top w:val="none" w:sz="0" w:space="0" w:color="auto"/>
                            <w:left w:val="none" w:sz="0" w:space="0" w:color="auto"/>
                            <w:bottom w:val="none" w:sz="0" w:space="0" w:color="auto"/>
                            <w:right w:val="none" w:sz="0" w:space="0" w:color="auto"/>
                          </w:divBdr>
                        </w:div>
                        <w:div w:id="1185946802">
                          <w:marLeft w:val="0"/>
                          <w:marRight w:val="0"/>
                          <w:marTop w:val="0"/>
                          <w:marBottom w:val="0"/>
                          <w:divBdr>
                            <w:top w:val="none" w:sz="0" w:space="0" w:color="auto"/>
                            <w:left w:val="none" w:sz="0" w:space="0" w:color="auto"/>
                            <w:bottom w:val="none" w:sz="0" w:space="0" w:color="auto"/>
                            <w:right w:val="none" w:sz="0" w:space="0" w:color="auto"/>
                          </w:divBdr>
                        </w:div>
                      </w:divsChild>
                    </w:div>
                    <w:div w:id="176239145">
                      <w:marLeft w:val="0"/>
                      <w:marRight w:val="0"/>
                      <w:marTop w:val="0"/>
                      <w:marBottom w:val="0"/>
                      <w:divBdr>
                        <w:top w:val="none" w:sz="0" w:space="0" w:color="auto"/>
                        <w:left w:val="none" w:sz="0" w:space="0" w:color="auto"/>
                        <w:bottom w:val="none" w:sz="0" w:space="0" w:color="auto"/>
                        <w:right w:val="none" w:sz="0" w:space="0" w:color="auto"/>
                      </w:divBdr>
                      <w:divsChild>
                        <w:div w:id="1982077051">
                          <w:marLeft w:val="0"/>
                          <w:marRight w:val="0"/>
                          <w:marTop w:val="0"/>
                          <w:marBottom w:val="0"/>
                          <w:divBdr>
                            <w:top w:val="none" w:sz="0" w:space="0" w:color="auto"/>
                            <w:left w:val="none" w:sz="0" w:space="0" w:color="auto"/>
                            <w:bottom w:val="none" w:sz="0" w:space="0" w:color="auto"/>
                            <w:right w:val="none" w:sz="0" w:space="0" w:color="auto"/>
                          </w:divBdr>
                        </w:div>
                        <w:div w:id="614095668">
                          <w:marLeft w:val="0"/>
                          <w:marRight w:val="0"/>
                          <w:marTop w:val="0"/>
                          <w:marBottom w:val="0"/>
                          <w:divBdr>
                            <w:top w:val="none" w:sz="0" w:space="0" w:color="auto"/>
                            <w:left w:val="none" w:sz="0" w:space="0" w:color="auto"/>
                            <w:bottom w:val="none" w:sz="0" w:space="0" w:color="auto"/>
                            <w:right w:val="none" w:sz="0" w:space="0" w:color="auto"/>
                          </w:divBdr>
                        </w:div>
                        <w:div w:id="134184635">
                          <w:marLeft w:val="0"/>
                          <w:marRight w:val="0"/>
                          <w:marTop w:val="0"/>
                          <w:marBottom w:val="0"/>
                          <w:divBdr>
                            <w:top w:val="none" w:sz="0" w:space="0" w:color="auto"/>
                            <w:left w:val="none" w:sz="0" w:space="0" w:color="auto"/>
                            <w:bottom w:val="none" w:sz="0" w:space="0" w:color="auto"/>
                            <w:right w:val="none" w:sz="0" w:space="0" w:color="auto"/>
                          </w:divBdr>
                        </w:div>
                      </w:divsChild>
                    </w:div>
                    <w:div w:id="1972982405">
                      <w:marLeft w:val="0"/>
                      <w:marRight w:val="0"/>
                      <w:marTop w:val="0"/>
                      <w:marBottom w:val="0"/>
                      <w:divBdr>
                        <w:top w:val="none" w:sz="0" w:space="0" w:color="auto"/>
                        <w:left w:val="none" w:sz="0" w:space="0" w:color="auto"/>
                        <w:bottom w:val="none" w:sz="0" w:space="0" w:color="auto"/>
                        <w:right w:val="none" w:sz="0" w:space="0" w:color="auto"/>
                      </w:divBdr>
                      <w:divsChild>
                        <w:div w:id="1575973065">
                          <w:marLeft w:val="0"/>
                          <w:marRight w:val="0"/>
                          <w:marTop w:val="0"/>
                          <w:marBottom w:val="0"/>
                          <w:divBdr>
                            <w:top w:val="none" w:sz="0" w:space="0" w:color="auto"/>
                            <w:left w:val="none" w:sz="0" w:space="0" w:color="auto"/>
                            <w:bottom w:val="none" w:sz="0" w:space="0" w:color="auto"/>
                            <w:right w:val="none" w:sz="0" w:space="0" w:color="auto"/>
                          </w:divBdr>
                        </w:div>
                        <w:div w:id="2087144962">
                          <w:marLeft w:val="0"/>
                          <w:marRight w:val="0"/>
                          <w:marTop w:val="0"/>
                          <w:marBottom w:val="0"/>
                          <w:divBdr>
                            <w:top w:val="none" w:sz="0" w:space="0" w:color="auto"/>
                            <w:left w:val="none" w:sz="0" w:space="0" w:color="auto"/>
                            <w:bottom w:val="none" w:sz="0" w:space="0" w:color="auto"/>
                            <w:right w:val="none" w:sz="0" w:space="0" w:color="auto"/>
                          </w:divBdr>
                        </w:div>
                        <w:div w:id="967660485">
                          <w:marLeft w:val="0"/>
                          <w:marRight w:val="0"/>
                          <w:marTop w:val="0"/>
                          <w:marBottom w:val="0"/>
                          <w:divBdr>
                            <w:top w:val="none" w:sz="0" w:space="0" w:color="auto"/>
                            <w:left w:val="none" w:sz="0" w:space="0" w:color="auto"/>
                            <w:bottom w:val="none" w:sz="0" w:space="0" w:color="auto"/>
                            <w:right w:val="none" w:sz="0" w:space="0" w:color="auto"/>
                          </w:divBdr>
                        </w:div>
                        <w:div w:id="1445347289">
                          <w:marLeft w:val="0"/>
                          <w:marRight w:val="0"/>
                          <w:marTop w:val="0"/>
                          <w:marBottom w:val="0"/>
                          <w:divBdr>
                            <w:top w:val="none" w:sz="0" w:space="0" w:color="auto"/>
                            <w:left w:val="none" w:sz="0" w:space="0" w:color="auto"/>
                            <w:bottom w:val="none" w:sz="0" w:space="0" w:color="auto"/>
                            <w:right w:val="none" w:sz="0" w:space="0" w:color="auto"/>
                          </w:divBdr>
                        </w:div>
                        <w:div w:id="2051756414">
                          <w:marLeft w:val="0"/>
                          <w:marRight w:val="0"/>
                          <w:marTop w:val="0"/>
                          <w:marBottom w:val="0"/>
                          <w:divBdr>
                            <w:top w:val="none" w:sz="0" w:space="0" w:color="auto"/>
                            <w:left w:val="none" w:sz="0" w:space="0" w:color="auto"/>
                            <w:bottom w:val="none" w:sz="0" w:space="0" w:color="auto"/>
                            <w:right w:val="none" w:sz="0" w:space="0" w:color="auto"/>
                          </w:divBdr>
                        </w:div>
                        <w:div w:id="1976905763">
                          <w:marLeft w:val="0"/>
                          <w:marRight w:val="0"/>
                          <w:marTop w:val="0"/>
                          <w:marBottom w:val="0"/>
                          <w:divBdr>
                            <w:top w:val="none" w:sz="0" w:space="0" w:color="auto"/>
                            <w:left w:val="none" w:sz="0" w:space="0" w:color="auto"/>
                            <w:bottom w:val="none" w:sz="0" w:space="0" w:color="auto"/>
                            <w:right w:val="none" w:sz="0" w:space="0" w:color="auto"/>
                          </w:divBdr>
                        </w:div>
                        <w:div w:id="962034539">
                          <w:marLeft w:val="0"/>
                          <w:marRight w:val="0"/>
                          <w:marTop w:val="0"/>
                          <w:marBottom w:val="0"/>
                          <w:divBdr>
                            <w:top w:val="none" w:sz="0" w:space="0" w:color="auto"/>
                            <w:left w:val="none" w:sz="0" w:space="0" w:color="auto"/>
                            <w:bottom w:val="none" w:sz="0" w:space="0" w:color="auto"/>
                            <w:right w:val="none" w:sz="0" w:space="0" w:color="auto"/>
                          </w:divBdr>
                        </w:div>
                      </w:divsChild>
                    </w:div>
                    <w:div w:id="361441745">
                      <w:marLeft w:val="0"/>
                      <w:marRight w:val="0"/>
                      <w:marTop w:val="0"/>
                      <w:marBottom w:val="0"/>
                      <w:divBdr>
                        <w:top w:val="none" w:sz="0" w:space="0" w:color="auto"/>
                        <w:left w:val="none" w:sz="0" w:space="0" w:color="auto"/>
                        <w:bottom w:val="none" w:sz="0" w:space="0" w:color="auto"/>
                        <w:right w:val="none" w:sz="0" w:space="0" w:color="auto"/>
                      </w:divBdr>
                      <w:divsChild>
                        <w:div w:id="1671172318">
                          <w:marLeft w:val="0"/>
                          <w:marRight w:val="0"/>
                          <w:marTop w:val="0"/>
                          <w:marBottom w:val="0"/>
                          <w:divBdr>
                            <w:top w:val="none" w:sz="0" w:space="0" w:color="auto"/>
                            <w:left w:val="none" w:sz="0" w:space="0" w:color="auto"/>
                            <w:bottom w:val="none" w:sz="0" w:space="0" w:color="auto"/>
                            <w:right w:val="none" w:sz="0" w:space="0" w:color="auto"/>
                          </w:divBdr>
                        </w:div>
                      </w:divsChild>
                    </w:div>
                    <w:div w:id="2138638380">
                      <w:marLeft w:val="0"/>
                      <w:marRight w:val="0"/>
                      <w:marTop w:val="0"/>
                      <w:marBottom w:val="0"/>
                      <w:divBdr>
                        <w:top w:val="none" w:sz="0" w:space="0" w:color="auto"/>
                        <w:left w:val="none" w:sz="0" w:space="0" w:color="auto"/>
                        <w:bottom w:val="none" w:sz="0" w:space="0" w:color="auto"/>
                        <w:right w:val="none" w:sz="0" w:space="0" w:color="auto"/>
                      </w:divBdr>
                      <w:divsChild>
                        <w:div w:id="1530140133">
                          <w:marLeft w:val="0"/>
                          <w:marRight w:val="0"/>
                          <w:marTop w:val="0"/>
                          <w:marBottom w:val="0"/>
                          <w:divBdr>
                            <w:top w:val="none" w:sz="0" w:space="0" w:color="auto"/>
                            <w:left w:val="none" w:sz="0" w:space="0" w:color="auto"/>
                            <w:bottom w:val="none" w:sz="0" w:space="0" w:color="auto"/>
                            <w:right w:val="none" w:sz="0" w:space="0" w:color="auto"/>
                          </w:divBdr>
                        </w:div>
                        <w:div w:id="193469682">
                          <w:marLeft w:val="0"/>
                          <w:marRight w:val="0"/>
                          <w:marTop w:val="0"/>
                          <w:marBottom w:val="0"/>
                          <w:divBdr>
                            <w:top w:val="none" w:sz="0" w:space="0" w:color="auto"/>
                            <w:left w:val="none" w:sz="0" w:space="0" w:color="auto"/>
                            <w:bottom w:val="none" w:sz="0" w:space="0" w:color="auto"/>
                            <w:right w:val="none" w:sz="0" w:space="0" w:color="auto"/>
                          </w:divBdr>
                          <w:divsChild>
                            <w:div w:id="801725771">
                              <w:marLeft w:val="0"/>
                              <w:marRight w:val="0"/>
                              <w:marTop w:val="0"/>
                              <w:marBottom w:val="0"/>
                              <w:divBdr>
                                <w:top w:val="none" w:sz="0" w:space="0" w:color="auto"/>
                                <w:left w:val="none" w:sz="0" w:space="0" w:color="auto"/>
                                <w:bottom w:val="none" w:sz="0" w:space="0" w:color="auto"/>
                                <w:right w:val="none" w:sz="0" w:space="0" w:color="auto"/>
                              </w:divBdr>
                            </w:div>
                            <w:div w:id="447243102">
                              <w:marLeft w:val="0"/>
                              <w:marRight w:val="0"/>
                              <w:marTop w:val="0"/>
                              <w:marBottom w:val="0"/>
                              <w:divBdr>
                                <w:top w:val="none" w:sz="0" w:space="0" w:color="auto"/>
                                <w:left w:val="none" w:sz="0" w:space="0" w:color="auto"/>
                                <w:bottom w:val="none" w:sz="0" w:space="0" w:color="auto"/>
                                <w:right w:val="none" w:sz="0" w:space="0" w:color="auto"/>
                              </w:divBdr>
                            </w:div>
                            <w:div w:id="940184566">
                              <w:marLeft w:val="0"/>
                              <w:marRight w:val="0"/>
                              <w:marTop w:val="0"/>
                              <w:marBottom w:val="0"/>
                              <w:divBdr>
                                <w:top w:val="none" w:sz="0" w:space="0" w:color="auto"/>
                                <w:left w:val="none" w:sz="0" w:space="0" w:color="auto"/>
                                <w:bottom w:val="none" w:sz="0" w:space="0" w:color="auto"/>
                                <w:right w:val="none" w:sz="0" w:space="0" w:color="auto"/>
                              </w:divBdr>
                            </w:div>
                            <w:div w:id="1250042435">
                              <w:marLeft w:val="0"/>
                              <w:marRight w:val="0"/>
                              <w:marTop w:val="0"/>
                              <w:marBottom w:val="0"/>
                              <w:divBdr>
                                <w:top w:val="none" w:sz="0" w:space="0" w:color="auto"/>
                                <w:left w:val="none" w:sz="0" w:space="0" w:color="auto"/>
                                <w:bottom w:val="none" w:sz="0" w:space="0" w:color="auto"/>
                                <w:right w:val="none" w:sz="0" w:space="0" w:color="auto"/>
                              </w:divBdr>
                              <w:divsChild>
                                <w:div w:id="1378773395">
                                  <w:marLeft w:val="0"/>
                                  <w:marRight w:val="0"/>
                                  <w:marTop w:val="0"/>
                                  <w:marBottom w:val="0"/>
                                  <w:divBdr>
                                    <w:top w:val="none" w:sz="0" w:space="0" w:color="auto"/>
                                    <w:left w:val="none" w:sz="0" w:space="0" w:color="auto"/>
                                    <w:bottom w:val="none" w:sz="0" w:space="0" w:color="auto"/>
                                    <w:right w:val="none" w:sz="0" w:space="0" w:color="auto"/>
                                  </w:divBdr>
                                </w:div>
                              </w:divsChild>
                            </w:div>
                            <w:div w:id="1976979818">
                              <w:marLeft w:val="0"/>
                              <w:marRight w:val="0"/>
                              <w:marTop w:val="0"/>
                              <w:marBottom w:val="0"/>
                              <w:divBdr>
                                <w:top w:val="none" w:sz="0" w:space="0" w:color="auto"/>
                                <w:left w:val="none" w:sz="0" w:space="0" w:color="auto"/>
                                <w:bottom w:val="none" w:sz="0" w:space="0" w:color="auto"/>
                                <w:right w:val="none" w:sz="0" w:space="0" w:color="auto"/>
                              </w:divBdr>
                              <w:divsChild>
                                <w:div w:id="147796265">
                                  <w:marLeft w:val="0"/>
                                  <w:marRight w:val="0"/>
                                  <w:marTop w:val="0"/>
                                  <w:marBottom w:val="0"/>
                                  <w:divBdr>
                                    <w:top w:val="none" w:sz="0" w:space="0" w:color="auto"/>
                                    <w:left w:val="none" w:sz="0" w:space="0" w:color="auto"/>
                                    <w:bottom w:val="none" w:sz="0" w:space="0" w:color="auto"/>
                                    <w:right w:val="none" w:sz="0" w:space="0" w:color="auto"/>
                                  </w:divBdr>
                                </w:div>
                              </w:divsChild>
                            </w:div>
                            <w:div w:id="1263688839">
                              <w:marLeft w:val="0"/>
                              <w:marRight w:val="0"/>
                              <w:marTop w:val="0"/>
                              <w:marBottom w:val="0"/>
                              <w:divBdr>
                                <w:top w:val="none" w:sz="0" w:space="0" w:color="auto"/>
                                <w:left w:val="none" w:sz="0" w:space="0" w:color="auto"/>
                                <w:bottom w:val="none" w:sz="0" w:space="0" w:color="auto"/>
                                <w:right w:val="none" w:sz="0" w:space="0" w:color="auto"/>
                              </w:divBdr>
                            </w:div>
                            <w:div w:id="1951475362">
                              <w:marLeft w:val="0"/>
                              <w:marRight w:val="0"/>
                              <w:marTop w:val="0"/>
                              <w:marBottom w:val="0"/>
                              <w:divBdr>
                                <w:top w:val="none" w:sz="0" w:space="0" w:color="auto"/>
                                <w:left w:val="none" w:sz="0" w:space="0" w:color="auto"/>
                                <w:bottom w:val="none" w:sz="0" w:space="0" w:color="auto"/>
                                <w:right w:val="none" w:sz="0" w:space="0" w:color="auto"/>
                              </w:divBdr>
                              <w:divsChild>
                                <w:div w:id="1385829594">
                                  <w:marLeft w:val="0"/>
                                  <w:marRight w:val="0"/>
                                  <w:marTop w:val="0"/>
                                  <w:marBottom w:val="0"/>
                                  <w:divBdr>
                                    <w:top w:val="none" w:sz="0" w:space="0" w:color="auto"/>
                                    <w:left w:val="none" w:sz="0" w:space="0" w:color="auto"/>
                                    <w:bottom w:val="none" w:sz="0" w:space="0" w:color="auto"/>
                                    <w:right w:val="none" w:sz="0" w:space="0" w:color="auto"/>
                                  </w:divBdr>
                                </w:div>
                              </w:divsChild>
                            </w:div>
                            <w:div w:id="703139454">
                              <w:marLeft w:val="0"/>
                              <w:marRight w:val="0"/>
                              <w:marTop w:val="0"/>
                              <w:marBottom w:val="0"/>
                              <w:divBdr>
                                <w:top w:val="none" w:sz="0" w:space="0" w:color="auto"/>
                                <w:left w:val="none" w:sz="0" w:space="0" w:color="auto"/>
                                <w:bottom w:val="none" w:sz="0" w:space="0" w:color="auto"/>
                                <w:right w:val="none" w:sz="0" w:space="0" w:color="auto"/>
                              </w:divBdr>
                              <w:divsChild>
                                <w:div w:id="906038370">
                                  <w:marLeft w:val="0"/>
                                  <w:marRight w:val="0"/>
                                  <w:marTop w:val="0"/>
                                  <w:marBottom w:val="0"/>
                                  <w:divBdr>
                                    <w:top w:val="none" w:sz="0" w:space="0" w:color="auto"/>
                                    <w:left w:val="none" w:sz="0" w:space="0" w:color="auto"/>
                                    <w:bottom w:val="none" w:sz="0" w:space="0" w:color="auto"/>
                                    <w:right w:val="none" w:sz="0" w:space="0" w:color="auto"/>
                                  </w:divBdr>
                                </w:div>
                              </w:divsChild>
                            </w:div>
                            <w:div w:id="1887569026">
                              <w:marLeft w:val="0"/>
                              <w:marRight w:val="0"/>
                              <w:marTop w:val="0"/>
                              <w:marBottom w:val="0"/>
                              <w:divBdr>
                                <w:top w:val="none" w:sz="0" w:space="0" w:color="auto"/>
                                <w:left w:val="none" w:sz="0" w:space="0" w:color="auto"/>
                                <w:bottom w:val="none" w:sz="0" w:space="0" w:color="auto"/>
                                <w:right w:val="none" w:sz="0" w:space="0" w:color="auto"/>
                              </w:divBdr>
                              <w:divsChild>
                                <w:div w:id="169224711">
                                  <w:marLeft w:val="0"/>
                                  <w:marRight w:val="0"/>
                                  <w:marTop w:val="0"/>
                                  <w:marBottom w:val="0"/>
                                  <w:divBdr>
                                    <w:top w:val="none" w:sz="0" w:space="0" w:color="auto"/>
                                    <w:left w:val="none" w:sz="0" w:space="0" w:color="auto"/>
                                    <w:bottom w:val="none" w:sz="0" w:space="0" w:color="auto"/>
                                    <w:right w:val="none" w:sz="0" w:space="0" w:color="auto"/>
                                  </w:divBdr>
                                </w:div>
                              </w:divsChild>
                            </w:div>
                            <w:div w:id="1230842032">
                              <w:marLeft w:val="0"/>
                              <w:marRight w:val="0"/>
                              <w:marTop w:val="0"/>
                              <w:marBottom w:val="0"/>
                              <w:divBdr>
                                <w:top w:val="none" w:sz="0" w:space="0" w:color="auto"/>
                                <w:left w:val="none" w:sz="0" w:space="0" w:color="auto"/>
                                <w:bottom w:val="none" w:sz="0" w:space="0" w:color="auto"/>
                                <w:right w:val="none" w:sz="0" w:space="0" w:color="auto"/>
                              </w:divBdr>
                            </w:div>
                            <w:div w:id="1780176386">
                              <w:marLeft w:val="0"/>
                              <w:marRight w:val="0"/>
                              <w:marTop w:val="0"/>
                              <w:marBottom w:val="0"/>
                              <w:divBdr>
                                <w:top w:val="none" w:sz="0" w:space="0" w:color="auto"/>
                                <w:left w:val="none" w:sz="0" w:space="0" w:color="auto"/>
                                <w:bottom w:val="none" w:sz="0" w:space="0" w:color="auto"/>
                                <w:right w:val="none" w:sz="0" w:space="0" w:color="auto"/>
                              </w:divBdr>
                            </w:div>
                            <w:div w:id="501970942">
                              <w:marLeft w:val="0"/>
                              <w:marRight w:val="0"/>
                              <w:marTop w:val="0"/>
                              <w:marBottom w:val="0"/>
                              <w:divBdr>
                                <w:top w:val="none" w:sz="0" w:space="0" w:color="auto"/>
                                <w:left w:val="none" w:sz="0" w:space="0" w:color="auto"/>
                                <w:bottom w:val="none" w:sz="0" w:space="0" w:color="auto"/>
                                <w:right w:val="none" w:sz="0" w:space="0" w:color="auto"/>
                              </w:divBdr>
                            </w:div>
                            <w:div w:id="2068872719">
                              <w:marLeft w:val="0"/>
                              <w:marRight w:val="0"/>
                              <w:marTop w:val="0"/>
                              <w:marBottom w:val="0"/>
                              <w:divBdr>
                                <w:top w:val="none" w:sz="0" w:space="0" w:color="auto"/>
                                <w:left w:val="none" w:sz="0" w:space="0" w:color="auto"/>
                                <w:bottom w:val="none" w:sz="0" w:space="0" w:color="auto"/>
                                <w:right w:val="none" w:sz="0" w:space="0" w:color="auto"/>
                              </w:divBdr>
                            </w:div>
                            <w:div w:id="1270890382">
                              <w:marLeft w:val="0"/>
                              <w:marRight w:val="0"/>
                              <w:marTop w:val="0"/>
                              <w:marBottom w:val="0"/>
                              <w:divBdr>
                                <w:top w:val="none" w:sz="0" w:space="0" w:color="auto"/>
                                <w:left w:val="none" w:sz="0" w:space="0" w:color="auto"/>
                                <w:bottom w:val="none" w:sz="0" w:space="0" w:color="auto"/>
                                <w:right w:val="none" w:sz="0" w:space="0" w:color="auto"/>
                              </w:divBdr>
                            </w:div>
                            <w:div w:id="670646715">
                              <w:marLeft w:val="0"/>
                              <w:marRight w:val="0"/>
                              <w:marTop w:val="0"/>
                              <w:marBottom w:val="0"/>
                              <w:divBdr>
                                <w:top w:val="none" w:sz="0" w:space="0" w:color="auto"/>
                                <w:left w:val="none" w:sz="0" w:space="0" w:color="auto"/>
                                <w:bottom w:val="none" w:sz="0" w:space="0" w:color="auto"/>
                                <w:right w:val="none" w:sz="0" w:space="0" w:color="auto"/>
                              </w:divBdr>
                              <w:divsChild>
                                <w:div w:id="1166633118">
                                  <w:marLeft w:val="0"/>
                                  <w:marRight w:val="0"/>
                                  <w:marTop w:val="0"/>
                                  <w:marBottom w:val="0"/>
                                  <w:divBdr>
                                    <w:top w:val="none" w:sz="0" w:space="0" w:color="auto"/>
                                    <w:left w:val="none" w:sz="0" w:space="0" w:color="auto"/>
                                    <w:bottom w:val="none" w:sz="0" w:space="0" w:color="auto"/>
                                    <w:right w:val="none" w:sz="0" w:space="0" w:color="auto"/>
                                  </w:divBdr>
                                </w:div>
                              </w:divsChild>
                            </w:div>
                            <w:div w:id="2111703948">
                              <w:marLeft w:val="0"/>
                              <w:marRight w:val="0"/>
                              <w:marTop w:val="0"/>
                              <w:marBottom w:val="0"/>
                              <w:divBdr>
                                <w:top w:val="none" w:sz="0" w:space="0" w:color="auto"/>
                                <w:left w:val="none" w:sz="0" w:space="0" w:color="auto"/>
                                <w:bottom w:val="none" w:sz="0" w:space="0" w:color="auto"/>
                                <w:right w:val="none" w:sz="0" w:space="0" w:color="auto"/>
                              </w:divBdr>
                            </w:div>
                            <w:div w:id="1594314601">
                              <w:marLeft w:val="0"/>
                              <w:marRight w:val="0"/>
                              <w:marTop w:val="0"/>
                              <w:marBottom w:val="0"/>
                              <w:divBdr>
                                <w:top w:val="none" w:sz="0" w:space="0" w:color="auto"/>
                                <w:left w:val="none" w:sz="0" w:space="0" w:color="auto"/>
                                <w:bottom w:val="none" w:sz="0" w:space="0" w:color="auto"/>
                                <w:right w:val="none" w:sz="0" w:space="0" w:color="auto"/>
                              </w:divBdr>
                            </w:div>
                            <w:div w:id="2012020978">
                              <w:marLeft w:val="0"/>
                              <w:marRight w:val="0"/>
                              <w:marTop w:val="0"/>
                              <w:marBottom w:val="0"/>
                              <w:divBdr>
                                <w:top w:val="none" w:sz="0" w:space="0" w:color="auto"/>
                                <w:left w:val="none" w:sz="0" w:space="0" w:color="auto"/>
                                <w:bottom w:val="none" w:sz="0" w:space="0" w:color="auto"/>
                                <w:right w:val="none" w:sz="0" w:space="0" w:color="auto"/>
                              </w:divBdr>
                            </w:div>
                            <w:div w:id="783499084">
                              <w:marLeft w:val="0"/>
                              <w:marRight w:val="0"/>
                              <w:marTop w:val="0"/>
                              <w:marBottom w:val="0"/>
                              <w:divBdr>
                                <w:top w:val="none" w:sz="0" w:space="0" w:color="auto"/>
                                <w:left w:val="none" w:sz="0" w:space="0" w:color="auto"/>
                                <w:bottom w:val="none" w:sz="0" w:space="0" w:color="auto"/>
                                <w:right w:val="none" w:sz="0" w:space="0" w:color="auto"/>
                              </w:divBdr>
                            </w:div>
                            <w:div w:id="1001465573">
                              <w:marLeft w:val="0"/>
                              <w:marRight w:val="0"/>
                              <w:marTop w:val="0"/>
                              <w:marBottom w:val="0"/>
                              <w:divBdr>
                                <w:top w:val="none" w:sz="0" w:space="0" w:color="auto"/>
                                <w:left w:val="none" w:sz="0" w:space="0" w:color="auto"/>
                                <w:bottom w:val="none" w:sz="0" w:space="0" w:color="auto"/>
                                <w:right w:val="none" w:sz="0" w:space="0" w:color="auto"/>
                              </w:divBdr>
                            </w:div>
                            <w:div w:id="395516809">
                              <w:marLeft w:val="0"/>
                              <w:marRight w:val="0"/>
                              <w:marTop w:val="0"/>
                              <w:marBottom w:val="0"/>
                              <w:divBdr>
                                <w:top w:val="none" w:sz="0" w:space="0" w:color="auto"/>
                                <w:left w:val="none" w:sz="0" w:space="0" w:color="auto"/>
                                <w:bottom w:val="none" w:sz="0" w:space="0" w:color="auto"/>
                                <w:right w:val="none" w:sz="0" w:space="0" w:color="auto"/>
                              </w:divBdr>
                            </w:div>
                            <w:div w:id="105781451">
                              <w:marLeft w:val="0"/>
                              <w:marRight w:val="0"/>
                              <w:marTop w:val="0"/>
                              <w:marBottom w:val="0"/>
                              <w:divBdr>
                                <w:top w:val="none" w:sz="0" w:space="0" w:color="auto"/>
                                <w:left w:val="none" w:sz="0" w:space="0" w:color="auto"/>
                                <w:bottom w:val="none" w:sz="0" w:space="0" w:color="auto"/>
                                <w:right w:val="none" w:sz="0" w:space="0" w:color="auto"/>
                              </w:divBdr>
                            </w:div>
                            <w:div w:id="551577705">
                              <w:marLeft w:val="0"/>
                              <w:marRight w:val="0"/>
                              <w:marTop w:val="0"/>
                              <w:marBottom w:val="0"/>
                              <w:divBdr>
                                <w:top w:val="none" w:sz="0" w:space="0" w:color="auto"/>
                                <w:left w:val="none" w:sz="0" w:space="0" w:color="auto"/>
                                <w:bottom w:val="none" w:sz="0" w:space="0" w:color="auto"/>
                                <w:right w:val="none" w:sz="0" w:space="0" w:color="auto"/>
                              </w:divBdr>
                            </w:div>
                            <w:div w:id="917398748">
                              <w:marLeft w:val="0"/>
                              <w:marRight w:val="0"/>
                              <w:marTop w:val="0"/>
                              <w:marBottom w:val="0"/>
                              <w:divBdr>
                                <w:top w:val="none" w:sz="0" w:space="0" w:color="auto"/>
                                <w:left w:val="none" w:sz="0" w:space="0" w:color="auto"/>
                                <w:bottom w:val="none" w:sz="0" w:space="0" w:color="auto"/>
                                <w:right w:val="none" w:sz="0" w:space="0" w:color="auto"/>
                              </w:divBdr>
                            </w:div>
                            <w:div w:id="323551542">
                              <w:marLeft w:val="0"/>
                              <w:marRight w:val="0"/>
                              <w:marTop w:val="0"/>
                              <w:marBottom w:val="0"/>
                              <w:divBdr>
                                <w:top w:val="none" w:sz="0" w:space="0" w:color="auto"/>
                                <w:left w:val="none" w:sz="0" w:space="0" w:color="auto"/>
                                <w:bottom w:val="none" w:sz="0" w:space="0" w:color="auto"/>
                                <w:right w:val="none" w:sz="0" w:space="0" w:color="auto"/>
                              </w:divBdr>
                            </w:div>
                            <w:div w:id="1352729509">
                              <w:marLeft w:val="0"/>
                              <w:marRight w:val="0"/>
                              <w:marTop w:val="0"/>
                              <w:marBottom w:val="0"/>
                              <w:divBdr>
                                <w:top w:val="none" w:sz="0" w:space="0" w:color="auto"/>
                                <w:left w:val="none" w:sz="0" w:space="0" w:color="auto"/>
                                <w:bottom w:val="none" w:sz="0" w:space="0" w:color="auto"/>
                                <w:right w:val="none" w:sz="0" w:space="0" w:color="auto"/>
                              </w:divBdr>
                              <w:divsChild>
                                <w:div w:id="26881082">
                                  <w:marLeft w:val="0"/>
                                  <w:marRight w:val="0"/>
                                  <w:marTop w:val="0"/>
                                  <w:marBottom w:val="0"/>
                                  <w:divBdr>
                                    <w:top w:val="none" w:sz="0" w:space="0" w:color="auto"/>
                                    <w:left w:val="none" w:sz="0" w:space="0" w:color="auto"/>
                                    <w:bottom w:val="none" w:sz="0" w:space="0" w:color="auto"/>
                                    <w:right w:val="none" w:sz="0" w:space="0" w:color="auto"/>
                                  </w:divBdr>
                                </w:div>
                              </w:divsChild>
                            </w:div>
                            <w:div w:id="44114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76824">
                      <w:marLeft w:val="0"/>
                      <w:marRight w:val="0"/>
                      <w:marTop w:val="0"/>
                      <w:marBottom w:val="0"/>
                      <w:divBdr>
                        <w:top w:val="none" w:sz="0" w:space="0" w:color="auto"/>
                        <w:left w:val="none" w:sz="0" w:space="0" w:color="auto"/>
                        <w:bottom w:val="none" w:sz="0" w:space="0" w:color="auto"/>
                        <w:right w:val="none" w:sz="0" w:space="0" w:color="auto"/>
                      </w:divBdr>
                      <w:divsChild>
                        <w:div w:id="1141195726">
                          <w:marLeft w:val="0"/>
                          <w:marRight w:val="0"/>
                          <w:marTop w:val="0"/>
                          <w:marBottom w:val="0"/>
                          <w:divBdr>
                            <w:top w:val="none" w:sz="0" w:space="0" w:color="auto"/>
                            <w:left w:val="none" w:sz="0" w:space="0" w:color="auto"/>
                            <w:bottom w:val="none" w:sz="0" w:space="0" w:color="auto"/>
                            <w:right w:val="none" w:sz="0" w:space="0" w:color="auto"/>
                          </w:divBdr>
                          <w:divsChild>
                            <w:div w:id="1836412527">
                              <w:marLeft w:val="0"/>
                              <w:marRight w:val="0"/>
                              <w:marTop w:val="0"/>
                              <w:marBottom w:val="0"/>
                              <w:divBdr>
                                <w:top w:val="none" w:sz="0" w:space="0" w:color="auto"/>
                                <w:left w:val="none" w:sz="0" w:space="0" w:color="auto"/>
                                <w:bottom w:val="none" w:sz="0" w:space="0" w:color="auto"/>
                                <w:right w:val="none" w:sz="0" w:space="0" w:color="auto"/>
                              </w:divBdr>
                              <w:divsChild>
                                <w:div w:id="2502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040623">
                      <w:marLeft w:val="0"/>
                      <w:marRight w:val="0"/>
                      <w:marTop w:val="0"/>
                      <w:marBottom w:val="0"/>
                      <w:divBdr>
                        <w:top w:val="none" w:sz="0" w:space="0" w:color="auto"/>
                        <w:left w:val="none" w:sz="0" w:space="0" w:color="auto"/>
                        <w:bottom w:val="none" w:sz="0" w:space="0" w:color="auto"/>
                        <w:right w:val="none" w:sz="0" w:space="0" w:color="auto"/>
                      </w:divBdr>
                    </w:div>
                    <w:div w:id="443235150">
                      <w:marLeft w:val="0"/>
                      <w:marRight w:val="0"/>
                      <w:marTop w:val="0"/>
                      <w:marBottom w:val="0"/>
                      <w:divBdr>
                        <w:top w:val="none" w:sz="0" w:space="0" w:color="auto"/>
                        <w:left w:val="none" w:sz="0" w:space="0" w:color="auto"/>
                        <w:bottom w:val="none" w:sz="0" w:space="0" w:color="auto"/>
                        <w:right w:val="none" w:sz="0" w:space="0" w:color="auto"/>
                      </w:divBdr>
                    </w:div>
                    <w:div w:id="1176967219">
                      <w:marLeft w:val="0"/>
                      <w:marRight w:val="0"/>
                      <w:marTop w:val="0"/>
                      <w:marBottom w:val="0"/>
                      <w:divBdr>
                        <w:top w:val="none" w:sz="0" w:space="0" w:color="auto"/>
                        <w:left w:val="none" w:sz="0" w:space="0" w:color="auto"/>
                        <w:bottom w:val="none" w:sz="0" w:space="0" w:color="auto"/>
                        <w:right w:val="none" w:sz="0" w:space="0" w:color="auto"/>
                      </w:divBdr>
                    </w:div>
                    <w:div w:id="1699771357">
                      <w:marLeft w:val="0"/>
                      <w:marRight w:val="0"/>
                      <w:marTop w:val="0"/>
                      <w:marBottom w:val="0"/>
                      <w:divBdr>
                        <w:top w:val="none" w:sz="0" w:space="0" w:color="auto"/>
                        <w:left w:val="none" w:sz="0" w:space="0" w:color="auto"/>
                        <w:bottom w:val="none" w:sz="0" w:space="0" w:color="auto"/>
                        <w:right w:val="none" w:sz="0" w:space="0" w:color="auto"/>
                      </w:divBdr>
                      <w:divsChild>
                        <w:div w:id="1539202362">
                          <w:marLeft w:val="0"/>
                          <w:marRight w:val="0"/>
                          <w:marTop w:val="0"/>
                          <w:marBottom w:val="0"/>
                          <w:divBdr>
                            <w:top w:val="none" w:sz="0" w:space="0" w:color="auto"/>
                            <w:left w:val="none" w:sz="0" w:space="0" w:color="auto"/>
                            <w:bottom w:val="none" w:sz="0" w:space="0" w:color="auto"/>
                            <w:right w:val="none" w:sz="0" w:space="0" w:color="auto"/>
                          </w:divBdr>
                        </w:div>
                        <w:div w:id="503908388">
                          <w:marLeft w:val="0"/>
                          <w:marRight w:val="0"/>
                          <w:marTop w:val="0"/>
                          <w:marBottom w:val="0"/>
                          <w:divBdr>
                            <w:top w:val="none" w:sz="0" w:space="0" w:color="auto"/>
                            <w:left w:val="none" w:sz="0" w:space="0" w:color="auto"/>
                            <w:bottom w:val="none" w:sz="0" w:space="0" w:color="auto"/>
                            <w:right w:val="none" w:sz="0" w:space="0" w:color="auto"/>
                          </w:divBdr>
                        </w:div>
                        <w:div w:id="1637568505">
                          <w:marLeft w:val="0"/>
                          <w:marRight w:val="0"/>
                          <w:marTop w:val="0"/>
                          <w:marBottom w:val="0"/>
                          <w:divBdr>
                            <w:top w:val="none" w:sz="0" w:space="0" w:color="auto"/>
                            <w:left w:val="none" w:sz="0" w:space="0" w:color="auto"/>
                            <w:bottom w:val="none" w:sz="0" w:space="0" w:color="auto"/>
                            <w:right w:val="none" w:sz="0" w:space="0" w:color="auto"/>
                          </w:divBdr>
                        </w:div>
                        <w:div w:id="513766847">
                          <w:marLeft w:val="0"/>
                          <w:marRight w:val="0"/>
                          <w:marTop w:val="0"/>
                          <w:marBottom w:val="0"/>
                          <w:divBdr>
                            <w:top w:val="none" w:sz="0" w:space="0" w:color="auto"/>
                            <w:left w:val="none" w:sz="0" w:space="0" w:color="auto"/>
                            <w:bottom w:val="none" w:sz="0" w:space="0" w:color="auto"/>
                            <w:right w:val="none" w:sz="0" w:space="0" w:color="auto"/>
                          </w:divBdr>
                        </w:div>
                        <w:div w:id="1368676195">
                          <w:marLeft w:val="0"/>
                          <w:marRight w:val="0"/>
                          <w:marTop w:val="0"/>
                          <w:marBottom w:val="0"/>
                          <w:divBdr>
                            <w:top w:val="none" w:sz="0" w:space="0" w:color="auto"/>
                            <w:left w:val="none" w:sz="0" w:space="0" w:color="auto"/>
                            <w:bottom w:val="none" w:sz="0" w:space="0" w:color="auto"/>
                            <w:right w:val="none" w:sz="0" w:space="0" w:color="auto"/>
                          </w:divBdr>
                        </w:div>
                        <w:div w:id="466315016">
                          <w:marLeft w:val="0"/>
                          <w:marRight w:val="0"/>
                          <w:marTop w:val="0"/>
                          <w:marBottom w:val="0"/>
                          <w:divBdr>
                            <w:top w:val="none" w:sz="0" w:space="0" w:color="auto"/>
                            <w:left w:val="none" w:sz="0" w:space="0" w:color="auto"/>
                            <w:bottom w:val="none" w:sz="0" w:space="0" w:color="auto"/>
                            <w:right w:val="none" w:sz="0" w:space="0" w:color="auto"/>
                          </w:divBdr>
                        </w:div>
                        <w:div w:id="902375354">
                          <w:marLeft w:val="0"/>
                          <w:marRight w:val="0"/>
                          <w:marTop w:val="0"/>
                          <w:marBottom w:val="0"/>
                          <w:divBdr>
                            <w:top w:val="none" w:sz="0" w:space="0" w:color="auto"/>
                            <w:left w:val="none" w:sz="0" w:space="0" w:color="auto"/>
                            <w:bottom w:val="none" w:sz="0" w:space="0" w:color="auto"/>
                            <w:right w:val="none" w:sz="0" w:space="0" w:color="auto"/>
                          </w:divBdr>
                        </w:div>
                        <w:div w:id="783618661">
                          <w:marLeft w:val="0"/>
                          <w:marRight w:val="0"/>
                          <w:marTop w:val="0"/>
                          <w:marBottom w:val="0"/>
                          <w:divBdr>
                            <w:top w:val="none" w:sz="0" w:space="0" w:color="auto"/>
                            <w:left w:val="none" w:sz="0" w:space="0" w:color="auto"/>
                            <w:bottom w:val="none" w:sz="0" w:space="0" w:color="auto"/>
                            <w:right w:val="none" w:sz="0" w:space="0" w:color="auto"/>
                          </w:divBdr>
                        </w:div>
                        <w:div w:id="760567305">
                          <w:marLeft w:val="0"/>
                          <w:marRight w:val="0"/>
                          <w:marTop w:val="0"/>
                          <w:marBottom w:val="0"/>
                          <w:divBdr>
                            <w:top w:val="none" w:sz="0" w:space="0" w:color="auto"/>
                            <w:left w:val="none" w:sz="0" w:space="0" w:color="auto"/>
                            <w:bottom w:val="none" w:sz="0" w:space="0" w:color="auto"/>
                            <w:right w:val="none" w:sz="0" w:space="0" w:color="auto"/>
                          </w:divBdr>
                        </w:div>
                        <w:div w:id="858858450">
                          <w:marLeft w:val="0"/>
                          <w:marRight w:val="0"/>
                          <w:marTop w:val="0"/>
                          <w:marBottom w:val="0"/>
                          <w:divBdr>
                            <w:top w:val="none" w:sz="0" w:space="0" w:color="auto"/>
                            <w:left w:val="none" w:sz="0" w:space="0" w:color="auto"/>
                            <w:bottom w:val="none" w:sz="0" w:space="0" w:color="auto"/>
                            <w:right w:val="none" w:sz="0" w:space="0" w:color="auto"/>
                          </w:divBdr>
                        </w:div>
                        <w:div w:id="1377654596">
                          <w:marLeft w:val="0"/>
                          <w:marRight w:val="0"/>
                          <w:marTop w:val="0"/>
                          <w:marBottom w:val="0"/>
                          <w:divBdr>
                            <w:top w:val="none" w:sz="0" w:space="0" w:color="auto"/>
                            <w:left w:val="none" w:sz="0" w:space="0" w:color="auto"/>
                            <w:bottom w:val="none" w:sz="0" w:space="0" w:color="auto"/>
                            <w:right w:val="none" w:sz="0" w:space="0" w:color="auto"/>
                          </w:divBdr>
                        </w:div>
                        <w:div w:id="1628510952">
                          <w:marLeft w:val="0"/>
                          <w:marRight w:val="0"/>
                          <w:marTop w:val="0"/>
                          <w:marBottom w:val="0"/>
                          <w:divBdr>
                            <w:top w:val="none" w:sz="0" w:space="0" w:color="auto"/>
                            <w:left w:val="none" w:sz="0" w:space="0" w:color="auto"/>
                            <w:bottom w:val="none" w:sz="0" w:space="0" w:color="auto"/>
                            <w:right w:val="none" w:sz="0" w:space="0" w:color="auto"/>
                          </w:divBdr>
                        </w:div>
                        <w:div w:id="1414008699">
                          <w:marLeft w:val="0"/>
                          <w:marRight w:val="0"/>
                          <w:marTop w:val="0"/>
                          <w:marBottom w:val="0"/>
                          <w:divBdr>
                            <w:top w:val="none" w:sz="0" w:space="0" w:color="auto"/>
                            <w:left w:val="none" w:sz="0" w:space="0" w:color="auto"/>
                            <w:bottom w:val="none" w:sz="0" w:space="0" w:color="auto"/>
                            <w:right w:val="none" w:sz="0" w:space="0" w:color="auto"/>
                          </w:divBdr>
                        </w:div>
                      </w:divsChild>
                    </w:div>
                    <w:div w:id="90858817">
                      <w:marLeft w:val="0"/>
                      <w:marRight w:val="0"/>
                      <w:marTop w:val="0"/>
                      <w:marBottom w:val="0"/>
                      <w:divBdr>
                        <w:top w:val="none" w:sz="0" w:space="0" w:color="auto"/>
                        <w:left w:val="none" w:sz="0" w:space="0" w:color="auto"/>
                        <w:bottom w:val="none" w:sz="0" w:space="0" w:color="auto"/>
                        <w:right w:val="none" w:sz="0" w:space="0" w:color="auto"/>
                      </w:divBdr>
                    </w:div>
                  </w:divsChild>
                </w:div>
                <w:div w:id="23417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20728">
          <w:marLeft w:val="0"/>
          <w:marRight w:val="0"/>
          <w:marTop w:val="0"/>
          <w:marBottom w:val="0"/>
          <w:divBdr>
            <w:top w:val="none" w:sz="0" w:space="0" w:color="auto"/>
            <w:left w:val="none" w:sz="0" w:space="0" w:color="auto"/>
            <w:bottom w:val="none" w:sz="0" w:space="0" w:color="auto"/>
            <w:right w:val="none" w:sz="0" w:space="0" w:color="auto"/>
          </w:divBdr>
          <w:divsChild>
            <w:div w:id="814031407">
              <w:marLeft w:val="0"/>
              <w:marRight w:val="0"/>
              <w:marTop w:val="0"/>
              <w:marBottom w:val="0"/>
              <w:divBdr>
                <w:top w:val="none" w:sz="0" w:space="0" w:color="auto"/>
                <w:left w:val="none" w:sz="0" w:space="0" w:color="auto"/>
                <w:bottom w:val="none" w:sz="0" w:space="0" w:color="auto"/>
                <w:right w:val="none" w:sz="0" w:space="0" w:color="auto"/>
              </w:divBdr>
            </w:div>
            <w:div w:id="1767073929">
              <w:marLeft w:val="0"/>
              <w:marRight w:val="0"/>
              <w:marTop w:val="0"/>
              <w:marBottom w:val="0"/>
              <w:divBdr>
                <w:top w:val="none" w:sz="0" w:space="0" w:color="auto"/>
                <w:left w:val="none" w:sz="0" w:space="0" w:color="auto"/>
                <w:bottom w:val="none" w:sz="0" w:space="0" w:color="auto"/>
                <w:right w:val="none" w:sz="0" w:space="0" w:color="auto"/>
              </w:divBdr>
            </w:div>
            <w:div w:id="1545480234">
              <w:marLeft w:val="0"/>
              <w:marRight w:val="0"/>
              <w:marTop w:val="0"/>
              <w:marBottom w:val="0"/>
              <w:divBdr>
                <w:top w:val="none" w:sz="0" w:space="0" w:color="auto"/>
                <w:left w:val="none" w:sz="0" w:space="0" w:color="auto"/>
                <w:bottom w:val="none" w:sz="0" w:space="0" w:color="auto"/>
                <w:right w:val="none" w:sz="0" w:space="0" w:color="auto"/>
              </w:divBdr>
            </w:div>
            <w:div w:id="1086151618">
              <w:marLeft w:val="0"/>
              <w:marRight w:val="0"/>
              <w:marTop w:val="0"/>
              <w:marBottom w:val="0"/>
              <w:divBdr>
                <w:top w:val="none" w:sz="0" w:space="0" w:color="auto"/>
                <w:left w:val="none" w:sz="0" w:space="0" w:color="auto"/>
                <w:bottom w:val="none" w:sz="0" w:space="0" w:color="auto"/>
                <w:right w:val="none" w:sz="0" w:space="0" w:color="auto"/>
              </w:divBdr>
            </w:div>
            <w:div w:id="1775052897">
              <w:marLeft w:val="0"/>
              <w:marRight w:val="0"/>
              <w:marTop w:val="0"/>
              <w:marBottom w:val="0"/>
              <w:divBdr>
                <w:top w:val="none" w:sz="0" w:space="0" w:color="auto"/>
                <w:left w:val="none" w:sz="0" w:space="0" w:color="auto"/>
                <w:bottom w:val="none" w:sz="0" w:space="0" w:color="auto"/>
                <w:right w:val="none" w:sz="0" w:space="0" w:color="auto"/>
              </w:divBdr>
            </w:div>
          </w:divsChild>
        </w:div>
        <w:div w:id="921336400">
          <w:marLeft w:val="0"/>
          <w:marRight w:val="0"/>
          <w:marTop w:val="0"/>
          <w:marBottom w:val="0"/>
          <w:divBdr>
            <w:top w:val="none" w:sz="0" w:space="0" w:color="auto"/>
            <w:left w:val="none" w:sz="0" w:space="0" w:color="auto"/>
            <w:bottom w:val="none" w:sz="0" w:space="0" w:color="auto"/>
            <w:right w:val="none" w:sz="0" w:space="0" w:color="auto"/>
          </w:divBdr>
        </w:div>
        <w:div w:id="73548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307/j.ctt18mvns1" TargetMode="External"/><Relationship Id="rId3" Type="http://schemas.openxmlformats.org/officeDocument/2006/relationships/settings" Target="settings.xml"/><Relationship Id="rId7" Type="http://schemas.openxmlformats.org/officeDocument/2006/relationships/hyperlink" Target="https://journals.openedition.org/polis/455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ournals.openedition.org/polis/4554" TargetMode="External"/><Relationship Id="rId11" Type="http://schemas.openxmlformats.org/officeDocument/2006/relationships/fontTable" Target="fontTable.xml"/><Relationship Id="rId5" Type="http://schemas.openxmlformats.org/officeDocument/2006/relationships/hyperlink" Target="https://journals.openedition.org/polis/4554" TargetMode="External"/><Relationship Id="rId10" Type="http://schemas.openxmlformats.org/officeDocument/2006/relationships/hyperlink" Target="https://journals.openedition.org/polis/4554" TargetMode="External"/><Relationship Id="rId4" Type="http://schemas.openxmlformats.org/officeDocument/2006/relationships/webSettings" Target="webSettings.xml"/><Relationship Id="rId9" Type="http://schemas.openxmlformats.org/officeDocument/2006/relationships/hyperlink" Target="http://dx.doi.org/10.1177/05390188402300400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17</Pages>
  <Words>8289</Words>
  <Characters>45592</Characters>
  <Application>Microsoft Office Word</Application>
  <DocSecurity>0</DocSecurity>
  <Lines>379</Lines>
  <Paragraphs>107</Paragraphs>
  <ScaleCrop>false</ScaleCrop>
  <Company/>
  <LinksUpToDate>false</LinksUpToDate>
  <CharactersWithSpaces>53774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200</cp:revision>
  <dcterms:created xsi:type="dcterms:W3CDTF">2020-10-21T13:42:00Z</dcterms:created>
  <dcterms:modified xsi:type="dcterms:W3CDTF">2019-10-05T21:42:00Z</dcterms:modified>
</cp:coreProperties>
</file>